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D1BE8" w14:textId="77777777" w:rsidR="004E77CB" w:rsidRDefault="00A80444">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06246914" w14:textId="77777777" w:rsidR="004E77CB" w:rsidRDefault="004E77CB">
      <w:pPr>
        <w:jc w:val="center"/>
        <w:rPr>
          <w:rFonts w:ascii="Arial" w:eastAsia="Arial" w:hAnsi="Arial" w:cs="Arial"/>
          <w:sz w:val="22"/>
          <w:szCs w:val="22"/>
          <w:highlight w:val="white"/>
        </w:rPr>
      </w:pPr>
      <w:bookmarkStart w:id="1" w:name="_heading=h.tziib8mju948" w:colFirst="0" w:colLast="0"/>
      <w:bookmarkEnd w:id="1"/>
    </w:p>
    <w:p w14:paraId="3DDFD6EB" w14:textId="77777777" w:rsidR="004E77CB" w:rsidRDefault="00A80444">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4F44C71E" w14:textId="77777777" w:rsidR="004E77CB" w:rsidRDefault="004E77CB">
      <w:pPr>
        <w:jc w:val="center"/>
        <w:rPr>
          <w:rFonts w:ascii="Arial" w:eastAsia="Arial" w:hAnsi="Arial" w:cs="Arial"/>
          <w:sz w:val="22"/>
          <w:szCs w:val="22"/>
          <w:highlight w:val="white"/>
        </w:rPr>
      </w:pPr>
    </w:p>
    <w:p w14:paraId="1C97AA42" w14:textId="77777777" w:rsidR="004E77CB" w:rsidRDefault="00A80444">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016B7016" w14:textId="77777777" w:rsidR="004E77CB" w:rsidRDefault="004E77CB">
      <w:pPr>
        <w:jc w:val="both"/>
        <w:rPr>
          <w:rFonts w:ascii="Arial" w:eastAsia="Arial" w:hAnsi="Arial" w:cs="Arial"/>
          <w:sz w:val="22"/>
          <w:szCs w:val="22"/>
        </w:rPr>
      </w:pPr>
      <w:bookmarkStart w:id="2" w:name="_heading=h.vmq5jlsylcjh" w:colFirst="0" w:colLast="0"/>
      <w:bookmarkEnd w:id="2"/>
    </w:p>
    <w:p w14:paraId="11B7A1C2" w14:textId="788A8373" w:rsidR="004E77CB" w:rsidRDefault="00A80444">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señor BERNARDO ZAMBRANO MERCHÁN en su calidad de </w:t>
      </w:r>
      <w:r w:rsidR="00A57202">
        <w:rPr>
          <w:rFonts w:ascii="Arial" w:eastAsia="Arial" w:hAnsi="Arial" w:cs="Arial"/>
          <w:sz w:val="22"/>
          <w:szCs w:val="22"/>
        </w:rPr>
        <w:t>a</w:t>
      </w:r>
      <w:r>
        <w:rPr>
          <w:rFonts w:ascii="Arial" w:eastAsia="Arial" w:hAnsi="Arial" w:cs="Arial"/>
          <w:sz w:val="22"/>
          <w:szCs w:val="22"/>
        </w:rPr>
        <w:t>dministrador del CONJUNTO RESIDENCIAL TORRES DEL FERROCARRIL, más exactamente por el apartamento 1104 de la torre 4, contra la sociedad A P CONSTRUCCIONES S.A., con NIT. 860.504.357-8, Representada Legalmente por el señor JUAN CARLOS PINZÓN MANRIQUE (o quien haga sus veces), por las deficiencias constructivas existentes en las áreas privadas del inmueble objeto de queja, el cual se encuentra ubicado en la Calle 166 No. 8 H - 56 de esta ciudad, actuación a la que le correspondió el radicado 1-2011-08288-55.</w:t>
      </w:r>
    </w:p>
    <w:p w14:paraId="4CC557EF" w14:textId="77777777" w:rsidR="004E77CB" w:rsidRDefault="004E77CB">
      <w:pPr>
        <w:widowControl w:val="0"/>
        <w:pBdr>
          <w:top w:val="nil"/>
          <w:left w:val="nil"/>
          <w:bottom w:val="nil"/>
          <w:right w:val="nil"/>
          <w:between w:val="nil"/>
        </w:pBdr>
        <w:jc w:val="both"/>
        <w:rPr>
          <w:rFonts w:ascii="Arial" w:eastAsia="Arial" w:hAnsi="Arial" w:cs="Arial"/>
          <w:sz w:val="22"/>
          <w:szCs w:val="22"/>
        </w:rPr>
      </w:pPr>
    </w:p>
    <w:p w14:paraId="49CB439A" w14:textId="76A512C9" w:rsidR="004E77CB" w:rsidRDefault="00A80444">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Pr>
          <w:rFonts w:ascii="Arial" w:eastAsia="Arial" w:hAnsi="Arial" w:cs="Arial"/>
          <w:sz w:val="22"/>
          <w:szCs w:val="22"/>
        </w:rPr>
        <w:t xml:space="preserve">Que, una vez surtidas las actuaciones procesales pertinentes, esta Dirección, mediante </w:t>
      </w:r>
      <w:r w:rsidR="00A57202">
        <w:rPr>
          <w:rFonts w:ascii="Arial" w:eastAsia="Arial" w:hAnsi="Arial" w:cs="Arial"/>
          <w:sz w:val="22"/>
          <w:szCs w:val="22"/>
        </w:rPr>
        <w:t>Resolución</w:t>
      </w:r>
      <w:r>
        <w:rPr>
          <w:rFonts w:ascii="Arial" w:eastAsia="Arial" w:hAnsi="Arial" w:cs="Arial"/>
          <w:sz w:val="22"/>
          <w:szCs w:val="22"/>
        </w:rPr>
        <w:t xml:space="preserve"> No. 325 del 19 de marzo de 2014, "</w:t>
      </w:r>
      <w:r>
        <w:rPr>
          <w:rFonts w:ascii="Arial" w:eastAsia="Arial" w:hAnsi="Arial" w:cs="Arial"/>
          <w:i/>
          <w:iCs/>
          <w:sz w:val="22"/>
          <w:szCs w:val="22"/>
        </w:rPr>
        <w:t>Por la cual se impone una sanción y se imparte una orden</w:t>
      </w:r>
      <w:r>
        <w:rPr>
          <w:rFonts w:ascii="Arial" w:eastAsia="Arial" w:hAnsi="Arial" w:cs="Arial"/>
          <w:sz w:val="22"/>
          <w:szCs w:val="22"/>
        </w:rPr>
        <w:t>", multó a la sociedad enajenadora A P CONSTRUCCIONES S.A., con NIT. 860.504.357-8, Representada Legalmente por el señor JUAN CARLOS PINZÓN MANRIQUE (o quien haga sus veces), con la suma de CINCUENTA Y NUEVE MIL PESOS ($59.000)</w:t>
      </w:r>
      <w:r w:rsidR="00A57202">
        <w:rPr>
          <w:rFonts w:ascii="Arial" w:eastAsia="Arial" w:hAnsi="Arial" w:cs="Arial"/>
          <w:sz w:val="22"/>
          <w:szCs w:val="22"/>
        </w:rPr>
        <w:t xml:space="preserve"> M/CTE</w:t>
      </w:r>
      <w:r>
        <w:rPr>
          <w:rFonts w:ascii="Arial" w:eastAsia="Arial" w:hAnsi="Arial" w:cs="Arial"/>
          <w:sz w:val="22"/>
          <w:szCs w:val="22"/>
        </w:rPr>
        <w:t>, que corresponden a SIETE MILLONES SESENTA Y OCHO MIL DOSCIENTOS CINCUENTA Y TRES PESOS ($7.068.253) M/CT</w:t>
      </w:r>
      <w:r w:rsidR="00A57202">
        <w:rPr>
          <w:rFonts w:ascii="Arial" w:eastAsia="Arial" w:hAnsi="Arial" w:cs="Arial"/>
          <w:sz w:val="22"/>
          <w:szCs w:val="22"/>
        </w:rPr>
        <w:t>E</w:t>
      </w:r>
      <w:r>
        <w:rPr>
          <w:rFonts w:ascii="Arial" w:eastAsia="Arial" w:hAnsi="Arial" w:cs="Arial"/>
          <w:sz w:val="22"/>
          <w:szCs w:val="22"/>
        </w:rPr>
        <w:t>.</w:t>
      </w:r>
    </w:p>
    <w:p w14:paraId="15ED4FF4" w14:textId="77777777" w:rsidR="004E77CB" w:rsidRDefault="004E77CB">
      <w:pPr>
        <w:widowControl w:val="0"/>
        <w:pBdr>
          <w:top w:val="nil"/>
          <w:left w:val="nil"/>
          <w:bottom w:val="nil"/>
          <w:right w:val="nil"/>
          <w:between w:val="nil"/>
        </w:pBdr>
        <w:jc w:val="both"/>
        <w:rPr>
          <w:rFonts w:ascii="Arial" w:eastAsia="Arial" w:hAnsi="Arial" w:cs="Arial"/>
          <w:sz w:val="22"/>
          <w:szCs w:val="22"/>
        </w:rPr>
      </w:pPr>
      <w:bookmarkStart w:id="4" w:name="_heading=h.1jd80eymxi61" w:colFirst="0" w:colLast="0"/>
      <w:bookmarkEnd w:id="4"/>
    </w:p>
    <w:p w14:paraId="4C20F16C" w14:textId="6542518E" w:rsidR="004E77CB" w:rsidRDefault="00A80444">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Pr>
          <w:rFonts w:ascii="Arial" w:eastAsia="Arial" w:hAnsi="Arial" w:cs="Arial"/>
          <w:sz w:val="22"/>
          <w:szCs w:val="22"/>
        </w:rPr>
        <w:t xml:space="preserve">Que, en los artículos segundo, tercero y cuarto de la </w:t>
      </w:r>
      <w:r w:rsidR="00A57202">
        <w:rPr>
          <w:rFonts w:ascii="Arial" w:eastAsia="Arial" w:hAnsi="Arial" w:cs="Arial"/>
          <w:sz w:val="22"/>
          <w:szCs w:val="22"/>
        </w:rPr>
        <w:t>Resolución</w:t>
      </w:r>
      <w:r>
        <w:rPr>
          <w:rFonts w:ascii="Arial" w:eastAsia="Arial" w:hAnsi="Arial" w:cs="Arial"/>
          <w:sz w:val="22"/>
          <w:szCs w:val="22"/>
        </w:rPr>
        <w:t xml:space="preserve"> No.325 del 19 de marzo de 2014,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26DA9567" w14:textId="77777777" w:rsidR="004E77CB" w:rsidRDefault="004E77CB">
      <w:pPr>
        <w:ind w:right="680"/>
        <w:jc w:val="both"/>
        <w:rPr>
          <w:rFonts w:ascii="Arial" w:eastAsia="Arial" w:hAnsi="Arial" w:cs="Arial"/>
          <w:i/>
          <w:iCs/>
          <w:color w:val="FF0000"/>
          <w:sz w:val="22"/>
          <w:szCs w:val="22"/>
        </w:rPr>
      </w:pPr>
    </w:p>
    <w:p w14:paraId="2AA249BD" w14:textId="77777777" w:rsidR="004E77CB" w:rsidRDefault="00A80444" w:rsidP="00A57202">
      <w:pPr>
        <w:ind w:left="680" w:right="49"/>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Ordenar a la sociedad A P CONSTRUCCIONES S.A., que dentro de los tres (3) meses (calendario) siguientes a la ejecutoria del presente acto, se ajuste a las normas transgredidas, solucionando de manera efectiva y suficiente, los hechos correspondientes a: "1. Humedad en la pared del cuarto principal" y *3. Fisura Horizontal en alcoba principal"; (Negrillas y cursiva fuera de texto); contenidos en el informe técnico emitido por esta subdirección.</w:t>
      </w:r>
    </w:p>
    <w:p w14:paraId="2EF3AFC7" w14:textId="77777777" w:rsidR="004E77CB" w:rsidRDefault="004E77CB" w:rsidP="00A57202">
      <w:pPr>
        <w:ind w:left="680" w:right="49"/>
        <w:jc w:val="both"/>
        <w:rPr>
          <w:rFonts w:ascii="Arial" w:eastAsia="Arial" w:hAnsi="Arial" w:cs="Arial"/>
          <w:i/>
          <w:iCs/>
          <w:sz w:val="22"/>
          <w:szCs w:val="22"/>
        </w:rPr>
      </w:pPr>
    </w:p>
    <w:p w14:paraId="55AB3025" w14:textId="77777777" w:rsidR="004E77CB" w:rsidRDefault="00A80444" w:rsidP="00A57202">
      <w:pPr>
        <w:ind w:left="680" w:right="49"/>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Ordenar a la sociedad A P CONSTRUCCIONES S.A., que dentro de los diez (10) días (hábiles) siguientes al cumplimiento del término dado </w:t>
      </w:r>
      <w:r>
        <w:rPr>
          <w:rFonts w:ascii="Arial" w:eastAsia="Arial" w:hAnsi="Arial" w:cs="Arial"/>
          <w:i/>
          <w:iCs/>
          <w:sz w:val="22"/>
          <w:szCs w:val="22"/>
        </w:rPr>
        <w:lastRenderedPageBreak/>
        <w:t>en el artículo anterior, acredite a este Despacho el cumplimiento de la orden impuesta.</w:t>
      </w:r>
    </w:p>
    <w:p w14:paraId="2362E6E4" w14:textId="77777777" w:rsidR="004E77CB" w:rsidRDefault="004E77CB" w:rsidP="00A57202">
      <w:pPr>
        <w:ind w:left="680" w:right="49"/>
        <w:jc w:val="both"/>
        <w:rPr>
          <w:rFonts w:ascii="Arial" w:eastAsia="Arial" w:hAnsi="Arial" w:cs="Arial"/>
          <w:i/>
          <w:iCs/>
          <w:sz w:val="22"/>
          <w:szCs w:val="22"/>
        </w:rPr>
      </w:pPr>
    </w:p>
    <w:p w14:paraId="24407E70" w14:textId="77777777" w:rsidR="004E77CB" w:rsidRDefault="00A80444" w:rsidP="00A57202">
      <w:pPr>
        <w:ind w:left="680" w:right="49"/>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xml:space="preserve"> El incumplimiento a la obligación impuesta en el artículo segundo, salvo que los querellantes impidan la realización de las obras ordenadas, situación que deberá poner en conocimiento inmediato a la subdirección de investigaciones, dará lugar a la imposición de sanción, consistente en multa por cuantía que puede oscilar entre DIEZ MIL PESOS (S 10.000.00) M/СТЕ у QUINIENTOS MIL PESOS (S500.000.00) M/CTE, por cada seis (6) meses (calendario) de retardo al vencimiento de la fecha establecida para el efecto, de conformidad con lo dispuesto en el inciso segundo del artículo 9° del Decreto Ley 078 de 1987, suma que deberá ser tasada e indexada al momento de imponer la sanción, por el incumplimiento de la orden emitida en el presente acto administrativo.</w:t>
      </w:r>
    </w:p>
    <w:p w14:paraId="593F5EB6" w14:textId="77777777" w:rsidR="004E77CB" w:rsidRDefault="004E77CB">
      <w:pPr>
        <w:ind w:right="-92"/>
        <w:jc w:val="both"/>
        <w:rPr>
          <w:rFonts w:ascii="Arial" w:eastAsia="Arial" w:hAnsi="Arial" w:cs="Arial"/>
          <w:sz w:val="22"/>
          <w:szCs w:val="22"/>
        </w:rPr>
      </w:pPr>
    </w:p>
    <w:p w14:paraId="6F2145A7" w14:textId="17A3D6B2" w:rsidR="004E77CB" w:rsidRDefault="00A80444">
      <w:pPr>
        <w:spacing w:line="276" w:lineRule="auto"/>
        <w:jc w:val="both"/>
        <w:rPr>
          <w:rFonts w:ascii="Arial" w:eastAsia="Arial" w:hAnsi="Arial" w:cs="Arial"/>
          <w:sz w:val="22"/>
          <w:szCs w:val="22"/>
        </w:rPr>
      </w:pPr>
      <w:r>
        <w:rPr>
          <w:rFonts w:ascii="Arial" w:eastAsia="Arial" w:hAnsi="Arial" w:cs="Arial"/>
          <w:sz w:val="22"/>
          <w:szCs w:val="22"/>
        </w:rPr>
        <w:t xml:space="preserve">Que, </w:t>
      </w:r>
      <w:r w:rsidR="00A57202">
        <w:rPr>
          <w:rFonts w:ascii="Arial" w:eastAsia="Arial" w:hAnsi="Arial" w:cs="Arial"/>
          <w:sz w:val="22"/>
          <w:szCs w:val="22"/>
        </w:rPr>
        <w:t xml:space="preserve">luego de notificada en debida forma las partes, </w:t>
      </w:r>
      <w:r>
        <w:rPr>
          <w:rFonts w:ascii="Arial" w:eastAsia="Arial" w:hAnsi="Arial" w:cs="Arial"/>
          <w:sz w:val="22"/>
          <w:szCs w:val="22"/>
        </w:rPr>
        <w:t>contra la Resolución No. 325 del 19 de marzo de 2014 se interpuso recurso de reposición y en subsidio apelación a través del radicado 1-2014-22144</w:t>
      </w:r>
      <w:r w:rsidR="00A57202">
        <w:rPr>
          <w:rFonts w:ascii="Arial" w:eastAsia="Arial" w:hAnsi="Arial" w:cs="Arial"/>
          <w:sz w:val="22"/>
          <w:szCs w:val="22"/>
        </w:rPr>
        <w:t xml:space="preserve"> del 04 de abril de 2014</w:t>
      </w:r>
      <w:r>
        <w:rPr>
          <w:rFonts w:ascii="Arial" w:eastAsia="Arial" w:hAnsi="Arial" w:cs="Arial"/>
          <w:sz w:val="22"/>
          <w:szCs w:val="22"/>
        </w:rPr>
        <w:t>.</w:t>
      </w:r>
    </w:p>
    <w:p w14:paraId="6A7A1A31" w14:textId="77777777" w:rsidR="004E77CB" w:rsidRDefault="004E77CB">
      <w:pPr>
        <w:spacing w:line="276" w:lineRule="auto"/>
        <w:jc w:val="both"/>
        <w:rPr>
          <w:rFonts w:ascii="Arial" w:eastAsia="Arial" w:hAnsi="Arial" w:cs="Arial"/>
          <w:sz w:val="22"/>
          <w:szCs w:val="22"/>
        </w:rPr>
      </w:pPr>
    </w:p>
    <w:p w14:paraId="694BB3D2" w14:textId="77777777" w:rsidR="004E77CB" w:rsidRPr="00076628" w:rsidRDefault="00A80444" w:rsidP="00A57202">
      <w:pPr>
        <w:spacing w:line="276" w:lineRule="auto"/>
        <w:jc w:val="both"/>
        <w:rPr>
          <w:rFonts w:ascii="Arial" w:eastAsia="Arial" w:hAnsi="Arial" w:cs="Arial"/>
          <w:sz w:val="22"/>
          <w:szCs w:val="22"/>
        </w:rPr>
      </w:pPr>
      <w:r>
        <w:rPr>
          <w:rFonts w:ascii="Arial" w:eastAsia="Arial" w:hAnsi="Arial" w:cs="Arial"/>
          <w:sz w:val="22"/>
          <w:szCs w:val="22"/>
        </w:rPr>
        <w:t xml:space="preserve">Que, el recurso de reposición fue resuelto a través de la Resolución No. 566 del 25 de marzo de 2015 que decidió no reponer y conceder recurso de apelación. De la misma manera el recurso de apelación fue resuelto a través de la Resolución No. 963 del 03 de julio de 2015 el cual resolvió confirmar esta en todas y cada una de sus partes. Así la Resolución No. 325 del 19 de marzo de 2014 quedó debidamente ejecutoriada </w:t>
      </w:r>
      <w:r w:rsidRPr="00076628">
        <w:rPr>
          <w:rFonts w:ascii="Arial" w:eastAsia="Arial" w:hAnsi="Arial" w:cs="Arial"/>
          <w:sz w:val="22"/>
          <w:szCs w:val="22"/>
        </w:rPr>
        <w:t xml:space="preserve">el doce (12) de agosto de 2015. </w:t>
      </w:r>
    </w:p>
    <w:p w14:paraId="183E8051" w14:textId="77777777" w:rsidR="004E77CB" w:rsidRDefault="004E77CB">
      <w:pPr>
        <w:spacing w:line="276" w:lineRule="auto"/>
        <w:jc w:val="both"/>
        <w:rPr>
          <w:rFonts w:ascii="Arial" w:eastAsia="Arial" w:hAnsi="Arial" w:cs="Arial"/>
          <w:sz w:val="22"/>
          <w:szCs w:val="22"/>
        </w:rPr>
      </w:pPr>
    </w:p>
    <w:p w14:paraId="30CD7506" w14:textId="77777777" w:rsidR="004E77CB" w:rsidRDefault="00A80444">
      <w:pPr>
        <w:spacing w:line="276" w:lineRule="auto"/>
        <w:jc w:val="both"/>
        <w:rPr>
          <w:rFonts w:ascii="Arial" w:eastAsia="Arial" w:hAnsi="Arial" w:cs="Arial"/>
          <w:sz w:val="22"/>
          <w:szCs w:val="22"/>
        </w:rPr>
      </w:pPr>
      <w:r>
        <w:rPr>
          <w:rFonts w:ascii="Arial" w:eastAsia="Arial" w:hAnsi="Arial" w:cs="Arial"/>
          <w:sz w:val="22"/>
          <w:szCs w:val="22"/>
        </w:rPr>
        <w:t>Que, a través de radicados 2-2016-80044 este despacho requiere a la sociedad enajenadora para que informe sobre el cumplimiento de la orden de hacer contenida en la Resolución No. 325 del 19 de marzo de 2014.</w:t>
      </w:r>
    </w:p>
    <w:p w14:paraId="550F399A" w14:textId="77777777" w:rsidR="004E77CB" w:rsidRDefault="004E77CB">
      <w:pPr>
        <w:spacing w:line="276" w:lineRule="auto"/>
        <w:jc w:val="both"/>
        <w:rPr>
          <w:rFonts w:ascii="Arial" w:eastAsia="Arial" w:hAnsi="Arial" w:cs="Arial"/>
          <w:sz w:val="22"/>
          <w:szCs w:val="22"/>
        </w:rPr>
      </w:pPr>
    </w:p>
    <w:p w14:paraId="44219B4B" w14:textId="7DA12DEB" w:rsidR="004E77CB" w:rsidRDefault="00A80444">
      <w:pPr>
        <w:spacing w:line="276" w:lineRule="auto"/>
        <w:jc w:val="both"/>
        <w:rPr>
          <w:rFonts w:ascii="Arial" w:eastAsia="Arial" w:hAnsi="Arial" w:cs="Arial"/>
          <w:sz w:val="22"/>
          <w:szCs w:val="22"/>
        </w:rPr>
      </w:pPr>
      <w:r>
        <w:rPr>
          <w:rFonts w:ascii="Arial" w:eastAsia="Arial" w:hAnsi="Arial" w:cs="Arial"/>
          <w:sz w:val="22"/>
          <w:szCs w:val="22"/>
        </w:rPr>
        <w:t xml:space="preserve">Que, </w:t>
      </w:r>
      <w:r w:rsidR="00076628">
        <w:rPr>
          <w:rFonts w:ascii="Arial" w:eastAsia="Arial" w:hAnsi="Arial" w:cs="Arial"/>
          <w:sz w:val="22"/>
          <w:szCs w:val="22"/>
        </w:rPr>
        <w:t xml:space="preserve">en cumplimiento de las funciones de seguimiento, </w:t>
      </w:r>
      <w:r>
        <w:rPr>
          <w:rFonts w:ascii="Arial" w:eastAsia="Arial" w:hAnsi="Arial" w:cs="Arial"/>
          <w:sz w:val="22"/>
          <w:szCs w:val="22"/>
        </w:rPr>
        <w:t xml:space="preserve">a través de </w:t>
      </w:r>
      <w:r w:rsidR="00076628">
        <w:rPr>
          <w:rFonts w:ascii="Arial" w:eastAsia="Arial" w:hAnsi="Arial" w:cs="Arial"/>
          <w:sz w:val="22"/>
          <w:szCs w:val="22"/>
        </w:rPr>
        <w:t xml:space="preserve">los </w:t>
      </w:r>
      <w:r>
        <w:rPr>
          <w:rFonts w:ascii="Arial" w:eastAsia="Arial" w:hAnsi="Arial" w:cs="Arial"/>
          <w:sz w:val="22"/>
          <w:szCs w:val="22"/>
        </w:rPr>
        <w:t>radicado</w:t>
      </w:r>
      <w:r w:rsidR="00076628">
        <w:rPr>
          <w:rFonts w:ascii="Arial" w:eastAsia="Arial" w:hAnsi="Arial" w:cs="Arial"/>
          <w:sz w:val="22"/>
          <w:szCs w:val="22"/>
        </w:rPr>
        <w:t>s 1-2016-8096 y</w:t>
      </w:r>
      <w:r>
        <w:rPr>
          <w:rFonts w:ascii="Arial" w:eastAsia="Arial" w:hAnsi="Arial" w:cs="Arial"/>
          <w:sz w:val="22"/>
          <w:szCs w:val="22"/>
        </w:rPr>
        <w:t xml:space="preserve"> 1-2016-8097 del 22 de noviembre de 2016 este despacho informa </w:t>
      </w:r>
      <w:r w:rsidR="00076628">
        <w:rPr>
          <w:rFonts w:ascii="Arial" w:eastAsia="Arial" w:hAnsi="Arial" w:cs="Arial"/>
          <w:sz w:val="22"/>
          <w:szCs w:val="22"/>
        </w:rPr>
        <w:t xml:space="preserve">tanto a la parte quejosa como </w:t>
      </w:r>
      <w:r>
        <w:rPr>
          <w:rFonts w:ascii="Arial" w:eastAsia="Arial" w:hAnsi="Arial" w:cs="Arial"/>
          <w:sz w:val="22"/>
          <w:szCs w:val="22"/>
        </w:rPr>
        <w:t xml:space="preserve">a la sociedad enajenadora de la visita de carácter técnico que se llevará a cabo el día </w:t>
      </w:r>
      <w:r w:rsidR="00076628">
        <w:rPr>
          <w:rFonts w:ascii="Arial" w:eastAsia="Arial" w:hAnsi="Arial" w:cs="Arial"/>
          <w:sz w:val="22"/>
          <w:szCs w:val="22"/>
        </w:rPr>
        <w:t>1</w:t>
      </w:r>
      <w:r>
        <w:rPr>
          <w:rFonts w:ascii="Arial" w:eastAsia="Arial" w:hAnsi="Arial" w:cs="Arial"/>
          <w:sz w:val="22"/>
          <w:szCs w:val="22"/>
        </w:rPr>
        <w:t xml:space="preserve">2 de diciembre de 2016. Este informe se responde a través de radicado 1-2016-84445 del 09 de diciembre de 2016 informando al despacho que la Resolución No. 325 del 19 de marzo de 2014 se encuentra suspendida provisionalmente. </w:t>
      </w:r>
    </w:p>
    <w:p w14:paraId="584F579F" w14:textId="77777777" w:rsidR="004E77CB" w:rsidRDefault="004E77CB">
      <w:pPr>
        <w:spacing w:line="276" w:lineRule="auto"/>
        <w:jc w:val="both"/>
        <w:rPr>
          <w:rFonts w:ascii="Arial" w:eastAsia="Arial" w:hAnsi="Arial" w:cs="Arial"/>
          <w:sz w:val="22"/>
          <w:szCs w:val="22"/>
        </w:rPr>
      </w:pPr>
    </w:p>
    <w:p w14:paraId="76E1649F" w14:textId="03B92948" w:rsidR="004E77CB" w:rsidRDefault="00A80444">
      <w:pPr>
        <w:spacing w:line="276" w:lineRule="auto"/>
        <w:jc w:val="both"/>
        <w:rPr>
          <w:rFonts w:ascii="Arial" w:eastAsia="Arial" w:hAnsi="Arial" w:cs="Arial"/>
          <w:sz w:val="22"/>
          <w:szCs w:val="22"/>
        </w:rPr>
      </w:pPr>
      <w:r>
        <w:rPr>
          <w:rFonts w:ascii="Arial" w:eastAsia="Arial" w:hAnsi="Arial" w:cs="Arial"/>
          <w:sz w:val="22"/>
          <w:szCs w:val="22"/>
        </w:rPr>
        <w:t xml:space="preserve">Sin embargo, la visita se llevó a cabo con asistencia de las partes y de esta se derivó el Informe de </w:t>
      </w:r>
      <w:r w:rsidR="00A57202">
        <w:rPr>
          <w:rFonts w:ascii="Arial" w:eastAsia="Arial" w:hAnsi="Arial" w:cs="Arial"/>
          <w:sz w:val="22"/>
          <w:szCs w:val="22"/>
        </w:rPr>
        <w:t>Verificación</w:t>
      </w:r>
      <w:r>
        <w:rPr>
          <w:rFonts w:ascii="Arial" w:eastAsia="Arial" w:hAnsi="Arial" w:cs="Arial"/>
          <w:sz w:val="22"/>
          <w:szCs w:val="22"/>
        </w:rPr>
        <w:t xml:space="preserve"> de Hechos No. 16-1318 del 13 de diciembre de 2016 que encontró los siguientes:</w:t>
      </w:r>
    </w:p>
    <w:p w14:paraId="3FDE1D40" w14:textId="77777777" w:rsidR="004E77CB" w:rsidRDefault="004E77CB">
      <w:pPr>
        <w:spacing w:line="276" w:lineRule="auto"/>
        <w:jc w:val="both"/>
        <w:rPr>
          <w:rFonts w:ascii="Arial" w:eastAsia="Arial" w:hAnsi="Arial" w:cs="Arial"/>
          <w:sz w:val="22"/>
          <w:szCs w:val="22"/>
        </w:rPr>
      </w:pPr>
    </w:p>
    <w:p w14:paraId="4714F2E5" w14:textId="77777777" w:rsidR="004E77CB" w:rsidRDefault="00A80444">
      <w:pPr>
        <w:spacing w:line="276" w:lineRule="auto"/>
        <w:jc w:val="center"/>
        <w:rPr>
          <w:rFonts w:ascii="Arial" w:eastAsia="Arial" w:hAnsi="Arial" w:cs="Arial"/>
          <w:i/>
          <w:iCs/>
          <w:sz w:val="22"/>
          <w:szCs w:val="22"/>
        </w:rPr>
      </w:pPr>
      <w:r>
        <w:rPr>
          <w:rFonts w:ascii="Arial" w:eastAsia="Arial" w:hAnsi="Arial" w:cs="Arial"/>
          <w:i/>
          <w:iCs/>
          <w:sz w:val="22"/>
          <w:szCs w:val="22"/>
        </w:rPr>
        <w:lastRenderedPageBreak/>
        <w:t xml:space="preserve">“Hallazgos </w:t>
      </w:r>
    </w:p>
    <w:p w14:paraId="09B72272" w14:textId="77777777" w:rsidR="004E77CB" w:rsidRDefault="004E77CB">
      <w:pPr>
        <w:spacing w:line="276" w:lineRule="auto"/>
        <w:jc w:val="both"/>
        <w:rPr>
          <w:rFonts w:ascii="Arial" w:eastAsia="Arial" w:hAnsi="Arial" w:cs="Arial"/>
          <w:i/>
          <w:iCs/>
          <w:sz w:val="22"/>
          <w:szCs w:val="22"/>
        </w:rPr>
      </w:pPr>
    </w:p>
    <w:p w14:paraId="51B12E6E" w14:textId="77777777" w:rsidR="004E77CB" w:rsidRDefault="00A80444">
      <w:pPr>
        <w:spacing w:line="276" w:lineRule="auto"/>
        <w:ind w:left="720"/>
        <w:jc w:val="both"/>
        <w:rPr>
          <w:rFonts w:ascii="Arial" w:eastAsia="Arial" w:hAnsi="Arial" w:cs="Arial"/>
          <w:i/>
          <w:iCs/>
          <w:sz w:val="22"/>
          <w:szCs w:val="22"/>
        </w:rPr>
      </w:pPr>
      <w:r>
        <w:rPr>
          <w:rFonts w:ascii="Arial" w:eastAsia="Arial" w:hAnsi="Arial" w:cs="Arial"/>
          <w:i/>
          <w:iCs/>
          <w:sz w:val="22"/>
          <w:szCs w:val="22"/>
        </w:rPr>
        <w:t>El artículo segundo de la resolución 325 del 19 de marzo de 2014 estableció:</w:t>
      </w:r>
    </w:p>
    <w:p w14:paraId="154F0296" w14:textId="77777777" w:rsidR="004E77CB" w:rsidRDefault="00A80444">
      <w:pPr>
        <w:spacing w:line="276" w:lineRule="auto"/>
        <w:ind w:left="720"/>
        <w:jc w:val="both"/>
        <w:rPr>
          <w:rFonts w:ascii="Arial" w:eastAsia="Arial" w:hAnsi="Arial" w:cs="Arial"/>
          <w:i/>
          <w:iCs/>
          <w:sz w:val="22"/>
          <w:szCs w:val="22"/>
        </w:rPr>
      </w:pPr>
      <w:r>
        <w:rPr>
          <w:rFonts w:ascii="Arial" w:eastAsia="Arial" w:hAnsi="Arial" w:cs="Arial"/>
          <w:i/>
          <w:iCs/>
          <w:sz w:val="22"/>
          <w:szCs w:val="22"/>
        </w:rPr>
        <w:t>ARTÍCULO SEGUNDO: Ordenar a la sociedad A.P CONSTRUCCIONES S.A., que dentro de tres (3) meses calendario siguientes a la ejecutoria del presente acto, se ajuste a las normas transgredidas, solucionando de manera efectiva y suficiente, los hechos correspondientes a: "1. Humedad en la pared del cuarto principal" y "3. Fisura horizontal en alcoba principal"; contenidos en el informe técnico emitido por esta Subdirección."</w:t>
      </w:r>
    </w:p>
    <w:p w14:paraId="3F0BA902" w14:textId="77777777" w:rsidR="00076628" w:rsidRDefault="00076628">
      <w:pPr>
        <w:spacing w:line="276" w:lineRule="auto"/>
        <w:ind w:left="720"/>
        <w:jc w:val="both"/>
        <w:rPr>
          <w:rFonts w:ascii="Arial" w:eastAsia="Arial" w:hAnsi="Arial" w:cs="Arial"/>
          <w:i/>
          <w:iCs/>
          <w:sz w:val="22"/>
          <w:szCs w:val="22"/>
        </w:rPr>
      </w:pPr>
    </w:p>
    <w:p w14:paraId="1322F90E" w14:textId="163309CD" w:rsidR="004E77CB" w:rsidRDefault="00A80444">
      <w:pPr>
        <w:spacing w:line="276" w:lineRule="auto"/>
        <w:ind w:left="720"/>
        <w:jc w:val="both"/>
        <w:rPr>
          <w:rFonts w:ascii="Arial" w:eastAsia="Arial" w:hAnsi="Arial" w:cs="Arial"/>
          <w:i/>
          <w:iCs/>
          <w:sz w:val="22"/>
          <w:szCs w:val="22"/>
        </w:rPr>
      </w:pPr>
      <w:r>
        <w:rPr>
          <w:rFonts w:ascii="Arial" w:eastAsia="Arial" w:hAnsi="Arial" w:cs="Arial"/>
          <w:i/>
          <w:iCs/>
          <w:sz w:val="22"/>
          <w:szCs w:val="22"/>
        </w:rPr>
        <w:t>Se constata la condición actual de los hechos objeto de la orden de hacer.</w:t>
      </w:r>
    </w:p>
    <w:p w14:paraId="3FB94948" w14:textId="77777777" w:rsidR="004E77CB" w:rsidRDefault="004E77CB">
      <w:pPr>
        <w:spacing w:line="276" w:lineRule="auto"/>
        <w:ind w:left="720"/>
        <w:jc w:val="both"/>
        <w:rPr>
          <w:rFonts w:ascii="Arial" w:eastAsia="Arial" w:hAnsi="Arial" w:cs="Arial"/>
          <w:i/>
          <w:iCs/>
          <w:sz w:val="22"/>
          <w:szCs w:val="22"/>
        </w:rPr>
      </w:pPr>
    </w:p>
    <w:p w14:paraId="423D15AA" w14:textId="77777777" w:rsidR="004E77CB" w:rsidRDefault="00A80444">
      <w:pPr>
        <w:spacing w:line="276" w:lineRule="auto"/>
        <w:ind w:left="720"/>
        <w:jc w:val="both"/>
        <w:rPr>
          <w:rFonts w:ascii="Arial" w:eastAsia="Arial" w:hAnsi="Arial" w:cs="Arial"/>
          <w:i/>
          <w:iCs/>
          <w:sz w:val="22"/>
          <w:szCs w:val="22"/>
        </w:rPr>
      </w:pPr>
      <w:r>
        <w:rPr>
          <w:rFonts w:ascii="Arial" w:eastAsia="Arial" w:hAnsi="Arial" w:cs="Arial"/>
          <w:i/>
          <w:iCs/>
          <w:sz w:val="22"/>
          <w:szCs w:val="22"/>
        </w:rPr>
        <w:t>El propietario informa que la sociedad enajenadora realizó intervención aproximadamente en mayo de 2016.</w:t>
      </w:r>
    </w:p>
    <w:p w14:paraId="3C74F1AD" w14:textId="77777777" w:rsidR="004E77CB" w:rsidRDefault="004E77CB">
      <w:pPr>
        <w:spacing w:line="276" w:lineRule="auto"/>
        <w:ind w:left="720"/>
        <w:jc w:val="both"/>
        <w:rPr>
          <w:rFonts w:ascii="Arial" w:eastAsia="Arial" w:hAnsi="Arial" w:cs="Arial"/>
          <w:i/>
          <w:iCs/>
          <w:sz w:val="22"/>
          <w:szCs w:val="22"/>
        </w:rPr>
      </w:pPr>
    </w:p>
    <w:p w14:paraId="54AA6C44" w14:textId="58318D99" w:rsidR="004E77CB" w:rsidRDefault="00A80444">
      <w:pPr>
        <w:spacing w:line="276" w:lineRule="auto"/>
        <w:ind w:left="720"/>
        <w:jc w:val="both"/>
        <w:rPr>
          <w:rFonts w:ascii="Arial" w:eastAsia="Arial" w:hAnsi="Arial" w:cs="Arial"/>
          <w:i/>
          <w:iCs/>
          <w:sz w:val="22"/>
          <w:szCs w:val="22"/>
        </w:rPr>
      </w:pPr>
      <w:r>
        <w:rPr>
          <w:rFonts w:ascii="Arial" w:eastAsia="Arial" w:hAnsi="Arial" w:cs="Arial"/>
          <w:i/>
          <w:iCs/>
          <w:sz w:val="22"/>
          <w:szCs w:val="22"/>
        </w:rPr>
        <w:t>A la fecha se evidencia humedad por condensación en alcoba principal y en alcoba 3.</w:t>
      </w:r>
      <w:r w:rsidR="00076628">
        <w:rPr>
          <w:rFonts w:ascii="Arial" w:eastAsia="Arial" w:hAnsi="Arial" w:cs="Arial"/>
          <w:i/>
          <w:iCs/>
          <w:sz w:val="22"/>
          <w:szCs w:val="22"/>
        </w:rPr>
        <w:t xml:space="preserve"> </w:t>
      </w:r>
      <w:r>
        <w:rPr>
          <w:rFonts w:ascii="Arial" w:eastAsia="Arial" w:hAnsi="Arial" w:cs="Arial"/>
          <w:i/>
          <w:iCs/>
          <w:sz w:val="22"/>
          <w:szCs w:val="22"/>
        </w:rPr>
        <w:t>También se evidencia que el vidrio de la ventana se encuentra empañado, a pesar de la hora de la visita (11:10 am), lo que hace suponer que el recinto no se encontraba debidamente ventilado.</w:t>
      </w:r>
    </w:p>
    <w:p w14:paraId="290852D5" w14:textId="77777777" w:rsidR="004E77CB" w:rsidRDefault="004E77CB">
      <w:pPr>
        <w:spacing w:line="276" w:lineRule="auto"/>
        <w:ind w:left="720"/>
        <w:jc w:val="both"/>
        <w:rPr>
          <w:rFonts w:ascii="Arial" w:eastAsia="Arial" w:hAnsi="Arial" w:cs="Arial"/>
          <w:i/>
          <w:iCs/>
          <w:sz w:val="22"/>
          <w:szCs w:val="22"/>
        </w:rPr>
      </w:pPr>
    </w:p>
    <w:p w14:paraId="27396515" w14:textId="51F3EF60" w:rsidR="004E77CB" w:rsidRDefault="00A80444">
      <w:pPr>
        <w:spacing w:line="276" w:lineRule="auto"/>
        <w:ind w:left="720"/>
        <w:jc w:val="both"/>
        <w:rPr>
          <w:rFonts w:ascii="Arial" w:eastAsia="Arial" w:hAnsi="Arial" w:cs="Arial"/>
          <w:i/>
          <w:iCs/>
          <w:sz w:val="22"/>
          <w:szCs w:val="22"/>
        </w:rPr>
      </w:pPr>
      <w:r>
        <w:rPr>
          <w:rFonts w:ascii="Arial" w:eastAsia="Arial" w:hAnsi="Arial" w:cs="Arial"/>
          <w:i/>
          <w:iCs/>
          <w:sz w:val="22"/>
          <w:szCs w:val="22"/>
        </w:rPr>
        <w:t xml:space="preserve">De cualquier forma, </w:t>
      </w:r>
      <w:proofErr w:type="gramStart"/>
      <w:r>
        <w:rPr>
          <w:rFonts w:ascii="Arial" w:eastAsia="Arial" w:hAnsi="Arial" w:cs="Arial"/>
          <w:i/>
          <w:iCs/>
          <w:sz w:val="22"/>
          <w:szCs w:val="22"/>
        </w:rPr>
        <w:t>de acuerdo a</w:t>
      </w:r>
      <w:proofErr w:type="gramEnd"/>
      <w:r>
        <w:rPr>
          <w:rFonts w:ascii="Arial" w:eastAsia="Arial" w:hAnsi="Arial" w:cs="Arial"/>
          <w:i/>
          <w:iCs/>
          <w:sz w:val="22"/>
          <w:szCs w:val="22"/>
        </w:rPr>
        <w:t xml:space="preserve"> la condición encontrada, se establece que el hecho</w:t>
      </w:r>
      <w:r w:rsidR="00076628">
        <w:rPr>
          <w:rFonts w:ascii="Arial" w:eastAsia="Arial" w:hAnsi="Arial" w:cs="Arial"/>
          <w:i/>
          <w:iCs/>
          <w:sz w:val="22"/>
          <w:szCs w:val="22"/>
        </w:rPr>
        <w:t xml:space="preserve"> </w:t>
      </w:r>
      <w:r>
        <w:rPr>
          <w:rFonts w:ascii="Arial" w:eastAsia="Arial" w:hAnsi="Arial" w:cs="Arial"/>
          <w:i/>
          <w:iCs/>
          <w:sz w:val="22"/>
          <w:szCs w:val="22"/>
        </w:rPr>
        <w:t>PERSISTE.</w:t>
      </w:r>
    </w:p>
    <w:p w14:paraId="5FE79591" w14:textId="77777777" w:rsidR="004E77CB" w:rsidRDefault="004E77CB">
      <w:pPr>
        <w:spacing w:line="276" w:lineRule="auto"/>
        <w:ind w:left="720"/>
        <w:jc w:val="both"/>
        <w:rPr>
          <w:rFonts w:ascii="Arial" w:eastAsia="Arial" w:hAnsi="Arial" w:cs="Arial"/>
          <w:i/>
          <w:iCs/>
          <w:sz w:val="22"/>
          <w:szCs w:val="22"/>
        </w:rPr>
      </w:pPr>
    </w:p>
    <w:p w14:paraId="5261CBB1" w14:textId="77777777" w:rsidR="004E77CB" w:rsidRDefault="00A80444">
      <w:pPr>
        <w:spacing w:line="276" w:lineRule="auto"/>
        <w:ind w:left="720"/>
        <w:jc w:val="both"/>
        <w:rPr>
          <w:rFonts w:ascii="Arial" w:eastAsia="Arial" w:hAnsi="Arial" w:cs="Arial"/>
          <w:i/>
          <w:iCs/>
          <w:sz w:val="22"/>
          <w:szCs w:val="22"/>
        </w:rPr>
      </w:pPr>
      <w:r>
        <w:rPr>
          <w:rFonts w:ascii="Arial" w:eastAsia="Arial" w:hAnsi="Arial" w:cs="Arial"/>
          <w:i/>
          <w:iCs/>
          <w:sz w:val="22"/>
          <w:szCs w:val="22"/>
        </w:rPr>
        <w:t>La sociedad enajenadora informa que el acto administrativo que impuso la sanción y la orden de hacer se encuentra suspendido y en firme.”</w:t>
      </w:r>
    </w:p>
    <w:p w14:paraId="0CD03459" w14:textId="77777777" w:rsidR="004E77CB" w:rsidRDefault="004E77CB">
      <w:pPr>
        <w:widowControl w:val="0"/>
        <w:ind w:right="-92"/>
        <w:jc w:val="both"/>
        <w:rPr>
          <w:rFonts w:ascii="Arial" w:eastAsia="Arial" w:hAnsi="Arial" w:cs="Arial"/>
          <w:sz w:val="22"/>
          <w:szCs w:val="22"/>
        </w:rPr>
      </w:pPr>
    </w:p>
    <w:p w14:paraId="2A74F527" w14:textId="125552DB" w:rsidR="004E77CB" w:rsidRDefault="00A80444">
      <w:pPr>
        <w:widowControl w:val="0"/>
        <w:ind w:right="-92"/>
        <w:jc w:val="both"/>
        <w:rPr>
          <w:rFonts w:ascii="Arial" w:eastAsia="Arial" w:hAnsi="Arial" w:cs="Arial"/>
          <w:sz w:val="22"/>
          <w:szCs w:val="22"/>
        </w:rPr>
      </w:pPr>
      <w:r>
        <w:rPr>
          <w:rFonts w:ascii="Arial" w:eastAsia="Arial" w:hAnsi="Arial" w:cs="Arial"/>
          <w:sz w:val="22"/>
          <w:szCs w:val="22"/>
        </w:rPr>
        <w:t xml:space="preserve">Que, el 30 de junio de 2020 el juzgado cuarenta y </w:t>
      </w:r>
      <w:r w:rsidR="00076628">
        <w:rPr>
          <w:rFonts w:ascii="Arial" w:eastAsia="Arial" w:hAnsi="Arial" w:cs="Arial"/>
          <w:sz w:val="22"/>
          <w:szCs w:val="22"/>
        </w:rPr>
        <w:t>cinco administrativos</w:t>
      </w:r>
      <w:r>
        <w:rPr>
          <w:rFonts w:ascii="Arial" w:eastAsia="Arial" w:hAnsi="Arial" w:cs="Arial"/>
          <w:sz w:val="22"/>
          <w:szCs w:val="22"/>
        </w:rPr>
        <w:t xml:space="preserve"> del circuito de Bogotá profirió sentencia de primera instancia diciendo:</w:t>
      </w:r>
    </w:p>
    <w:p w14:paraId="63EDA332" w14:textId="77777777" w:rsidR="004E77CB" w:rsidRDefault="004E77CB">
      <w:pPr>
        <w:widowControl w:val="0"/>
        <w:ind w:right="-92"/>
        <w:jc w:val="both"/>
        <w:rPr>
          <w:rFonts w:ascii="Arial" w:eastAsia="Arial" w:hAnsi="Arial" w:cs="Arial"/>
          <w:sz w:val="22"/>
          <w:szCs w:val="22"/>
        </w:rPr>
      </w:pPr>
    </w:p>
    <w:p w14:paraId="2E9AA0B0" w14:textId="77777777" w:rsidR="004E77CB" w:rsidRDefault="00A80444">
      <w:pPr>
        <w:widowControl w:val="0"/>
        <w:ind w:left="720" w:right="-92"/>
        <w:jc w:val="both"/>
        <w:rPr>
          <w:rFonts w:ascii="Arial" w:eastAsia="Arial" w:hAnsi="Arial" w:cs="Arial"/>
          <w:i/>
          <w:iCs/>
          <w:sz w:val="22"/>
          <w:szCs w:val="22"/>
        </w:rPr>
      </w:pPr>
      <w:r>
        <w:rPr>
          <w:rFonts w:ascii="Arial" w:eastAsia="Arial" w:hAnsi="Arial" w:cs="Arial"/>
          <w:b/>
          <w:bCs/>
          <w:i/>
          <w:iCs/>
          <w:sz w:val="22"/>
          <w:szCs w:val="22"/>
        </w:rPr>
        <w:t>“PRIMERO</w:t>
      </w:r>
      <w:r>
        <w:rPr>
          <w:rFonts w:ascii="Arial" w:eastAsia="Arial" w:hAnsi="Arial" w:cs="Arial"/>
          <w:i/>
          <w:iCs/>
          <w:sz w:val="22"/>
          <w:szCs w:val="22"/>
        </w:rPr>
        <w:t>. - DECLÁRASE la nulidad de las. Resoluciones No.: (i) 317 del 18 de marzo de. 2014; (</w:t>
      </w:r>
      <w:proofErr w:type="spellStart"/>
      <w:r>
        <w:rPr>
          <w:rFonts w:ascii="Arial" w:eastAsia="Arial" w:hAnsi="Arial" w:cs="Arial"/>
          <w:i/>
          <w:iCs/>
          <w:sz w:val="22"/>
          <w:szCs w:val="22"/>
        </w:rPr>
        <w:t>ii</w:t>
      </w:r>
      <w:proofErr w:type="spellEnd"/>
      <w:r>
        <w:rPr>
          <w:rFonts w:ascii="Arial" w:eastAsia="Arial" w:hAnsi="Arial" w:cs="Arial"/>
          <w:i/>
          <w:iCs/>
          <w:sz w:val="22"/>
          <w:szCs w:val="22"/>
        </w:rPr>
        <w:t>) 580 del 23 de marzo de 2015; y (</w:t>
      </w:r>
      <w:proofErr w:type="spellStart"/>
      <w:r>
        <w:rPr>
          <w:rFonts w:ascii="Arial" w:eastAsia="Arial" w:hAnsi="Arial" w:cs="Arial"/>
          <w:i/>
          <w:iCs/>
          <w:sz w:val="22"/>
          <w:szCs w:val="22"/>
        </w:rPr>
        <w:t>ii</w:t>
      </w:r>
      <w:proofErr w:type="spellEnd"/>
      <w:r>
        <w:rPr>
          <w:rFonts w:ascii="Arial" w:eastAsia="Arial" w:hAnsi="Arial" w:cs="Arial"/>
          <w:i/>
          <w:iCs/>
          <w:sz w:val="22"/>
          <w:szCs w:val="22"/>
        </w:rPr>
        <w:t>) 938 de 23 de junio de 2015 pretensiones de la demanda, conforme a los argumentos esbozados en las consideraciones de esta providencia.”</w:t>
      </w:r>
    </w:p>
    <w:p w14:paraId="7D134C83" w14:textId="77777777" w:rsidR="004E77CB" w:rsidRDefault="004E77CB">
      <w:pPr>
        <w:widowControl w:val="0"/>
        <w:ind w:right="-92"/>
        <w:jc w:val="both"/>
        <w:rPr>
          <w:rFonts w:ascii="Arial" w:eastAsia="Arial" w:hAnsi="Arial" w:cs="Arial"/>
          <w:sz w:val="22"/>
          <w:szCs w:val="22"/>
        </w:rPr>
      </w:pPr>
    </w:p>
    <w:p w14:paraId="686B2FDA" w14:textId="6F2B212C" w:rsidR="004E77CB" w:rsidRDefault="00A80444">
      <w:pPr>
        <w:widowControl w:val="0"/>
        <w:ind w:right="-92"/>
        <w:jc w:val="both"/>
        <w:rPr>
          <w:rFonts w:ascii="Arial" w:eastAsia="Arial" w:hAnsi="Arial" w:cs="Arial"/>
          <w:sz w:val="22"/>
          <w:szCs w:val="22"/>
        </w:rPr>
      </w:pPr>
      <w:r>
        <w:rPr>
          <w:rFonts w:ascii="Arial" w:eastAsia="Arial" w:hAnsi="Arial" w:cs="Arial"/>
          <w:sz w:val="22"/>
          <w:szCs w:val="22"/>
        </w:rPr>
        <w:t>Que, a través de radicados 2-2024-4414</w:t>
      </w:r>
      <w:r w:rsidR="00076628">
        <w:rPr>
          <w:rFonts w:ascii="Arial" w:eastAsia="Arial" w:hAnsi="Arial" w:cs="Arial"/>
          <w:sz w:val="22"/>
          <w:szCs w:val="22"/>
        </w:rPr>
        <w:t>3</w:t>
      </w:r>
      <w:r>
        <w:rPr>
          <w:rFonts w:ascii="Arial" w:eastAsia="Arial" w:hAnsi="Arial" w:cs="Arial"/>
          <w:sz w:val="22"/>
          <w:szCs w:val="22"/>
        </w:rPr>
        <w:t xml:space="preserve"> y 2-2024-4414</w:t>
      </w:r>
      <w:r w:rsidR="00076628">
        <w:rPr>
          <w:rFonts w:ascii="Arial" w:eastAsia="Arial" w:hAnsi="Arial" w:cs="Arial"/>
          <w:sz w:val="22"/>
          <w:szCs w:val="22"/>
        </w:rPr>
        <w:t>9</w:t>
      </w:r>
      <w:r>
        <w:rPr>
          <w:rFonts w:ascii="Arial" w:eastAsia="Arial" w:hAnsi="Arial" w:cs="Arial"/>
          <w:sz w:val="22"/>
          <w:szCs w:val="22"/>
        </w:rPr>
        <w:t xml:space="preserve"> del 26 de septiembre de 2024 este despa</w:t>
      </w:r>
      <w:r w:rsidR="00076628">
        <w:rPr>
          <w:rFonts w:ascii="Arial" w:eastAsia="Arial" w:hAnsi="Arial" w:cs="Arial"/>
          <w:sz w:val="22"/>
          <w:szCs w:val="22"/>
        </w:rPr>
        <w:t xml:space="preserve">cho requirió a las </w:t>
      </w:r>
      <w:r>
        <w:rPr>
          <w:rFonts w:ascii="Arial" w:eastAsia="Arial" w:hAnsi="Arial" w:cs="Arial"/>
          <w:sz w:val="22"/>
          <w:szCs w:val="22"/>
        </w:rPr>
        <w:t xml:space="preserve">partes para que acrediten el cumplimiento de la orden </w:t>
      </w:r>
      <w:r w:rsidR="00076628">
        <w:rPr>
          <w:rFonts w:ascii="Arial" w:eastAsia="Arial" w:hAnsi="Arial" w:cs="Arial"/>
          <w:sz w:val="22"/>
          <w:szCs w:val="22"/>
        </w:rPr>
        <w:t xml:space="preserve">contenida </w:t>
      </w:r>
      <w:r>
        <w:rPr>
          <w:rFonts w:ascii="Arial" w:eastAsia="Arial" w:hAnsi="Arial" w:cs="Arial"/>
          <w:sz w:val="22"/>
          <w:szCs w:val="22"/>
        </w:rPr>
        <w:t xml:space="preserve">en </w:t>
      </w:r>
      <w:r w:rsidR="00076628">
        <w:rPr>
          <w:rFonts w:ascii="Arial" w:eastAsia="Arial" w:hAnsi="Arial" w:cs="Arial"/>
          <w:sz w:val="22"/>
          <w:szCs w:val="22"/>
        </w:rPr>
        <w:t>la Resolución</w:t>
      </w:r>
      <w:r>
        <w:rPr>
          <w:rFonts w:ascii="Arial" w:eastAsia="Arial" w:hAnsi="Arial" w:cs="Arial"/>
          <w:sz w:val="22"/>
          <w:szCs w:val="22"/>
        </w:rPr>
        <w:t xml:space="preserve"> No. 325 del 19 de marzo de 2014.</w:t>
      </w:r>
    </w:p>
    <w:p w14:paraId="7317BE8B" w14:textId="77777777" w:rsidR="004E77CB" w:rsidRDefault="004E77CB">
      <w:pPr>
        <w:widowControl w:val="0"/>
        <w:ind w:right="-92"/>
        <w:jc w:val="both"/>
        <w:rPr>
          <w:rFonts w:ascii="Arial" w:eastAsia="Arial" w:hAnsi="Arial" w:cs="Arial"/>
          <w:sz w:val="22"/>
          <w:szCs w:val="22"/>
        </w:rPr>
      </w:pPr>
    </w:p>
    <w:p w14:paraId="23B12CBE" w14:textId="77777777" w:rsidR="004E77CB" w:rsidRDefault="00A80444">
      <w:pPr>
        <w:widowControl w:val="0"/>
        <w:ind w:right="-92"/>
        <w:jc w:val="both"/>
        <w:rPr>
          <w:rFonts w:ascii="Arial" w:eastAsia="Arial" w:hAnsi="Arial" w:cs="Arial"/>
          <w:i/>
          <w:iCs/>
          <w:sz w:val="22"/>
          <w:szCs w:val="22"/>
        </w:rPr>
      </w:pPr>
      <w:r>
        <w:rPr>
          <w:rFonts w:ascii="Arial" w:eastAsia="Arial" w:hAnsi="Arial" w:cs="Arial"/>
          <w:sz w:val="22"/>
          <w:szCs w:val="22"/>
        </w:rPr>
        <w:t xml:space="preserve">Que, mediante de radicado 1-2024-37704 la sociedad enajenadora allega respuesta del requerimiento donde indica a este despacho </w:t>
      </w:r>
      <w:r>
        <w:rPr>
          <w:rFonts w:ascii="Arial" w:eastAsia="Arial" w:hAnsi="Arial" w:cs="Arial"/>
          <w:i/>
          <w:iCs/>
          <w:sz w:val="22"/>
          <w:szCs w:val="22"/>
        </w:rPr>
        <w:t>“Pérdida de ejecutoria de los actos administrativos cuyo cumplimiento se exige mediante la comunicación de la referencia.”.</w:t>
      </w:r>
    </w:p>
    <w:p w14:paraId="5F0E4412" w14:textId="77777777" w:rsidR="004E77CB" w:rsidRDefault="004E77CB">
      <w:pPr>
        <w:widowControl w:val="0"/>
        <w:ind w:right="-92"/>
        <w:jc w:val="both"/>
        <w:rPr>
          <w:rFonts w:ascii="Arial" w:eastAsia="Arial" w:hAnsi="Arial" w:cs="Arial"/>
          <w:sz w:val="22"/>
          <w:szCs w:val="22"/>
        </w:rPr>
      </w:pPr>
    </w:p>
    <w:p w14:paraId="604B50B7" w14:textId="32B052AF" w:rsidR="004E77CB" w:rsidRDefault="00A80444">
      <w:pPr>
        <w:widowControl w:val="0"/>
        <w:ind w:right="-92"/>
        <w:jc w:val="both"/>
        <w:rPr>
          <w:rFonts w:ascii="Arial" w:eastAsia="Arial" w:hAnsi="Arial" w:cs="Arial"/>
          <w:sz w:val="22"/>
          <w:szCs w:val="22"/>
        </w:rPr>
      </w:pPr>
      <w:r>
        <w:rPr>
          <w:rFonts w:ascii="Arial" w:eastAsia="Arial" w:hAnsi="Arial" w:cs="Arial"/>
          <w:sz w:val="22"/>
          <w:szCs w:val="22"/>
        </w:rPr>
        <w:t xml:space="preserve">Que, a través de radicado 2-2025-27679 </w:t>
      </w:r>
      <w:r w:rsidR="00113ED4">
        <w:rPr>
          <w:rFonts w:ascii="Arial" w:eastAsia="Arial" w:hAnsi="Arial" w:cs="Arial"/>
          <w:sz w:val="22"/>
          <w:szCs w:val="22"/>
        </w:rPr>
        <w:t xml:space="preserve">y 2-2025-27681 </w:t>
      </w:r>
      <w:r>
        <w:rPr>
          <w:rFonts w:ascii="Arial" w:eastAsia="Arial" w:hAnsi="Arial" w:cs="Arial"/>
          <w:sz w:val="22"/>
          <w:szCs w:val="22"/>
        </w:rPr>
        <w:t xml:space="preserve">del </w:t>
      </w:r>
      <w:r w:rsidR="00113ED4">
        <w:rPr>
          <w:rFonts w:ascii="Arial" w:eastAsia="Arial" w:hAnsi="Arial" w:cs="Arial"/>
          <w:sz w:val="22"/>
          <w:szCs w:val="22"/>
        </w:rPr>
        <w:t>28 de mayo de 2025</w:t>
      </w:r>
      <w:r>
        <w:rPr>
          <w:rFonts w:ascii="Arial" w:eastAsia="Arial" w:hAnsi="Arial" w:cs="Arial"/>
          <w:sz w:val="22"/>
          <w:szCs w:val="22"/>
        </w:rPr>
        <w:t xml:space="preserve"> este despacito solicita nuevamente a las partes para que acrediten el cumplimiento de la orden en la </w:t>
      </w:r>
      <w:r w:rsidR="00113ED4">
        <w:rPr>
          <w:rFonts w:ascii="Arial" w:eastAsia="Arial" w:hAnsi="Arial" w:cs="Arial"/>
          <w:sz w:val="22"/>
          <w:szCs w:val="22"/>
        </w:rPr>
        <w:t>Resolución</w:t>
      </w:r>
      <w:r>
        <w:rPr>
          <w:rFonts w:ascii="Arial" w:eastAsia="Arial" w:hAnsi="Arial" w:cs="Arial"/>
          <w:sz w:val="22"/>
          <w:szCs w:val="22"/>
        </w:rPr>
        <w:t xml:space="preserve"> No. 325 del 19 de marzo de 2014.</w:t>
      </w:r>
    </w:p>
    <w:p w14:paraId="12264B9A" w14:textId="77777777" w:rsidR="00113ED4" w:rsidRDefault="00113ED4" w:rsidP="00113ED4">
      <w:pPr>
        <w:widowControl w:val="0"/>
        <w:ind w:right="-92"/>
        <w:jc w:val="both"/>
        <w:rPr>
          <w:rFonts w:ascii="Arial" w:eastAsia="Arial" w:hAnsi="Arial" w:cs="Arial"/>
          <w:sz w:val="22"/>
          <w:szCs w:val="22"/>
        </w:rPr>
      </w:pPr>
    </w:p>
    <w:p w14:paraId="7786AFAC" w14:textId="050E56D8" w:rsidR="00113ED4" w:rsidRDefault="00113ED4" w:rsidP="00113ED4">
      <w:pPr>
        <w:widowControl w:val="0"/>
        <w:ind w:right="-92"/>
        <w:jc w:val="both"/>
        <w:rPr>
          <w:rFonts w:ascii="Arial" w:eastAsia="Arial" w:hAnsi="Arial" w:cs="Arial"/>
          <w:sz w:val="22"/>
          <w:szCs w:val="22"/>
        </w:rPr>
      </w:pPr>
      <w:r>
        <w:rPr>
          <w:rFonts w:ascii="Arial" w:eastAsia="Arial" w:hAnsi="Arial" w:cs="Arial"/>
          <w:sz w:val="22"/>
          <w:szCs w:val="22"/>
        </w:rPr>
        <w:t xml:space="preserve">Que, posteriormente el 13 noviembre de 2025 el Tribunal Administrativo de Cundinamarca profirió fallo de segunda instancia donde confirma la nulidad de los actos administrativos objeto de controversia. </w:t>
      </w:r>
    </w:p>
    <w:p w14:paraId="446476FD" w14:textId="77777777" w:rsidR="004E77CB" w:rsidRDefault="004E77CB">
      <w:pPr>
        <w:widowControl w:val="0"/>
        <w:ind w:right="-92"/>
        <w:jc w:val="both"/>
        <w:rPr>
          <w:rFonts w:ascii="Arial" w:eastAsia="Arial" w:hAnsi="Arial" w:cs="Arial"/>
          <w:sz w:val="22"/>
          <w:szCs w:val="22"/>
        </w:rPr>
      </w:pPr>
    </w:p>
    <w:p w14:paraId="6BCA80CC" w14:textId="5333BA7B" w:rsidR="00113ED4" w:rsidRDefault="00113ED4">
      <w:pPr>
        <w:widowControl w:val="0"/>
        <w:ind w:right="-92"/>
        <w:jc w:val="both"/>
        <w:rPr>
          <w:rFonts w:ascii="Arial" w:eastAsia="Arial" w:hAnsi="Arial" w:cs="Arial"/>
          <w:sz w:val="22"/>
          <w:szCs w:val="22"/>
        </w:rPr>
      </w:pPr>
      <w:r>
        <w:rPr>
          <w:rFonts w:ascii="Arial" w:eastAsia="Arial" w:hAnsi="Arial" w:cs="Arial"/>
          <w:sz w:val="22"/>
          <w:szCs w:val="22"/>
        </w:rPr>
        <w:t>Que nuevamente este Despacho, mediante radicado 2-2025-80454 del 28 de noviembre de 2025, requirió a la sancionada para que informara en un lapso de quince (15) días el cumplimiento de la orden.</w:t>
      </w:r>
    </w:p>
    <w:p w14:paraId="63DF0102" w14:textId="77777777" w:rsidR="00113ED4" w:rsidRDefault="00113ED4">
      <w:pPr>
        <w:widowControl w:val="0"/>
        <w:ind w:right="-92"/>
        <w:jc w:val="both"/>
        <w:rPr>
          <w:rFonts w:ascii="Arial" w:eastAsia="Arial" w:hAnsi="Arial" w:cs="Arial"/>
          <w:sz w:val="22"/>
          <w:szCs w:val="22"/>
        </w:rPr>
      </w:pPr>
    </w:p>
    <w:p w14:paraId="5D35A113" w14:textId="380BBA1C" w:rsidR="004E77CB" w:rsidRDefault="00A80444">
      <w:pPr>
        <w:widowControl w:val="0"/>
        <w:ind w:right="-92"/>
        <w:jc w:val="both"/>
        <w:rPr>
          <w:rFonts w:ascii="Arial" w:eastAsia="Arial" w:hAnsi="Arial" w:cs="Arial"/>
          <w:sz w:val="22"/>
          <w:szCs w:val="22"/>
        </w:rPr>
      </w:pPr>
      <w:r>
        <w:rPr>
          <w:rFonts w:ascii="Arial" w:eastAsia="Arial" w:hAnsi="Arial" w:cs="Arial"/>
          <w:sz w:val="22"/>
          <w:szCs w:val="22"/>
        </w:rPr>
        <w:t xml:space="preserve">Que, mediante radicado 1-2025-64028 </w:t>
      </w:r>
      <w:r w:rsidR="0079558E">
        <w:rPr>
          <w:rFonts w:ascii="Arial" w:eastAsia="Arial" w:hAnsi="Arial" w:cs="Arial"/>
          <w:sz w:val="22"/>
          <w:szCs w:val="22"/>
        </w:rPr>
        <w:t xml:space="preserve">del 12 de diciembre de 2025, </w:t>
      </w:r>
      <w:r>
        <w:rPr>
          <w:rFonts w:ascii="Arial" w:eastAsia="Arial" w:hAnsi="Arial" w:cs="Arial"/>
          <w:sz w:val="22"/>
          <w:szCs w:val="22"/>
        </w:rPr>
        <w:t xml:space="preserve">la sociedad enajenadora responde al requerimiento </w:t>
      </w:r>
      <w:r>
        <w:rPr>
          <w:rFonts w:ascii="Arial" w:eastAsia="Arial" w:hAnsi="Arial" w:cs="Arial"/>
          <w:i/>
          <w:iCs/>
          <w:sz w:val="22"/>
          <w:szCs w:val="22"/>
        </w:rPr>
        <w:t>“Manifestando la pérdida de ejecutoria/nulidad de los actos administrativos cuyo cumplimiento se exige mediante la comunicación de la referencia”.</w:t>
      </w:r>
    </w:p>
    <w:p w14:paraId="6D713595" w14:textId="77777777" w:rsidR="004E77CB" w:rsidRDefault="004E77CB">
      <w:pPr>
        <w:widowControl w:val="0"/>
        <w:ind w:right="-92"/>
        <w:jc w:val="both"/>
        <w:rPr>
          <w:rFonts w:ascii="Arial" w:eastAsia="Arial" w:hAnsi="Arial" w:cs="Arial"/>
          <w:sz w:val="22"/>
          <w:szCs w:val="22"/>
        </w:rPr>
      </w:pPr>
    </w:p>
    <w:p w14:paraId="2B21939C" w14:textId="77777777" w:rsidR="004E77CB" w:rsidRDefault="00A80444">
      <w:pPr>
        <w:widowControl w:val="0"/>
        <w:ind w:right="-92"/>
        <w:jc w:val="both"/>
        <w:rPr>
          <w:rFonts w:ascii="Arial" w:eastAsia="Arial" w:hAnsi="Arial" w:cs="Arial"/>
          <w:sz w:val="22"/>
          <w:szCs w:val="22"/>
        </w:rPr>
      </w:pPr>
      <w:r>
        <w:rPr>
          <w:rFonts w:ascii="Arial" w:eastAsia="Arial" w:hAnsi="Arial" w:cs="Arial"/>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Pr>
          <w:rFonts w:ascii="Arial" w:eastAsia="Arial" w:hAnsi="Arial" w:cs="Arial"/>
          <w:i/>
          <w:iCs/>
          <w:sz w:val="22"/>
          <w:szCs w:val="22"/>
        </w:rPr>
        <w:t xml:space="preserve">, </w:t>
      </w:r>
      <w:r>
        <w:rPr>
          <w:rFonts w:ascii="Arial" w:eastAsia="Arial" w:hAnsi="Arial" w:cs="Arial"/>
          <w:sz w:val="22"/>
          <w:szCs w:val="22"/>
        </w:rPr>
        <w:t>o la culminación de la actuación administrativa de seguimiento, previo el siguiente:</w:t>
      </w:r>
    </w:p>
    <w:p w14:paraId="42289287" w14:textId="77777777" w:rsidR="004E77CB" w:rsidRDefault="004E77CB">
      <w:pPr>
        <w:ind w:left="-284" w:right="-92"/>
        <w:jc w:val="center"/>
        <w:rPr>
          <w:rFonts w:ascii="Arial" w:eastAsia="Arial" w:hAnsi="Arial" w:cs="Arial"/>
          <w:b/>
          <w:bCs/>
          <w:sz w:val="22"/>
          <w:szCs w:val="22"/>
        </w:rPr>
      </w:pPr>
    </w:p>
    <w:p w14:paraId="298A0A21" w14:textId="77777777" w:rsidR="004E77CB" w:rsidRDefault="00A80444">
      <w:pPr>
        <w:widowControl w:val="0"/>
        <w:jc w:val="center"/>
        <w:rPr>
          <w:rFonts w:ascii="Arial" w:eastAsia="Arial" w:hAnsi="Arial" w:cs="Arial"/>
          <w:b/>
          <w:bCs/>
          <w:sz w:val="22"/>
          <w:szCs w:val="22"/>
        </w:rPr>
      </w:pPr>
      <w:r>
        <w:rPr>
          <w:rFonts w:ascii="Arial" w:eastAsia="Arial" w:hAnsi="Arial" w:cs="Arial"/>
          <w:b/>
          <w:bCs/>
          <w:sz w:val="22"/>
          <w:szCs w:val="22"/>
        </w:rPr>
        <w:t>ANÁLISIS DEL DESPACHO</w:t>
      </w:r>
    </w:p>
    <w:p w14:paraId="0E81129C" w14:textId="77777777" w:rsidR="004E77CB" w:rsidRDefault="004E77CB">
      <w:pPr>
        <w:widowControl w:val="0"/>
        <w:rPr>
          <w:rFonts w:ascii="Arial" w:eastAsia="Arial" w:hAnsi="Arial" w:cs="Arial"/>
          <w:b/>
          <w:bCs/>
          <w:sz w:val="22"/>
          <w:szCs w:val="22"/>
        </w:rPr>
      </w:pPr>
    </w:p>
    <w:p w14:paraId="08B39DDA" w14:textId="77777777" w:rsidR="004E77CB" w:rsidRDefault="00A80444">
      <w:pPr>
        <w:widowControl w:val="0"/>
        <w:numPr>
          <w:ilvl w:val="0"/>
          <w:numId w:val="2"/>
        </w:numPr>
        <w:ind w:left="720" w:hanging="360"/>
        <w:rPr>
          <w:rFonts w:ascii="Arial" w:eastAsia="Arial" w:hAnsi="Arial" w:cs="Arial"/>
          <w:b/>
          <w:bCs/>
          <w:sz w:val="22"/>
          <w:szCs w:val="22"/>
        </w:rPr>
      </w:pPr>
      <w:r>
        <w:rPr>
          <w:rFonts w:ascii="Arial" w:eastAsia="Arial" w:hAnsi="Arial" w:cs="Arial"/>
          <w:b/>
          <w:bCs/>
          <w:sz w:val="22"/>
          <w:szCs w:val="22"/>
        </w:rPr>
        <w:t>FUNDAMENTO LEGAL</w:t>
      </w:r>
    </w:p>
    <w:p w14:paraId="6DBB69FE"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49DE1F26"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Bajo este entendido, el parágrafo del artículo 111 del Decreto 653 de 2015 establece que la 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esta Entidad procedió a imponer sanción mediante la Resolución No. 325 del 19 de marzo de 2014, “Por la cual se impone una sanción y se imparte una orden”.</w:t>
      </w:r>
    </w:p>
    <w:p w14:paraId="695DC19B"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 xml:space="preserve">Ahora bien, señala el artículo 126 del Decreto Distrital 653 de 2015 que, una vez ejecutoriada la actuación que imponga una orden a los enajenadores responsables de un </w:t>
      </w:r>
      <w:r>
        <w:rPr>
          <w:rFonts w:ascii="Arial" w:eastAsia="Arial" w:hAnsi="Arial" w:cs="Arial"/>
          <w:sz w:val="22"/>
          <w:szCs w:val="22"/>
        </w:rPr>
        <w:lastRenderedPageBreak/>
        <w:t>proyecto de vivienda, y superado el término dispuesto para su cumplimiento, se adelantará el SEGUIMIENTO A LA ORDEN para corroborar el cumplimiento del acto administrativo que la impuso.</w:t>
      </w:r>
    </w:p>
    <w:p w14:paraId="4CD9381E"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incumplan las órdenes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w:t>
      </w:r>
    </w:p>
    <w:p w14:paraId="444AA473"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w:t>
      </w:r>
    </w:p>
    <w:p w14:paraId="7E93A98A" w14:textId="77777777" w:rsidR="004E77CB" w:rsidRDefault="00A80444">
      <w:pPr>
        <w:widowControl w:val="0"/>
        <w:numPr>
          <w:ilvl w:val="0"/>
          <w:numId w:val="1"/>
        </w:numPr>
        <w:spacing w:before="240" w:after="240"/>
        <w:jc w:val="both"/>
        <w:rPr>
          <w:rFonts w:ascii="Arial" w:eastAsia="Arial" w:hAnsi="Arial" w:cs="Arial"/>
          <w:b/>
          <w:bCs/>
          <w:sz w:val="22"/>
          <w:szCs w:val="22"/>
        </w:rPr>
      </w:pPr>
      <w:r>
        <w:rPr>
          <w:rFonts w:ascii="Arial" w:eastAsia="Arial" w:hAnsi="Arial" w:cs="Arial"/>
          <w:b/>
          <w:bCs/>
          <w:sz w:val="22"/>
          <w:szCs w:val="22"/>
        </w:rPr>
        <w:t>ANÁLISIS PROBATORIO</w:t>
      </w:r>
    </w:p>
    <w:p w14:paraId="01DC0434" w14:textId="3B99ADAD"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 xml:space="preserve">No </w:t>
      </w:r>
      <w:r w:rsidR="00113ED4">
        <w:rPr>
          <w:rFonts w:ascii="Arial" w:eastAsia="Arial" w:hAnsi="Arial" w:cs="Arial"/>
          <w:sz w:val="22"/>
          <w:szCs w:val="22"/>
        </w:rPr>
        <w:t>obstante,</w:t>
      </w:r>
      <w:r>
        <w:rPr>
          <w:rFonts w:ascii="Arial" w:eastAsia="Arial" w:hAnsi="Arial" w:cs="Arial"/>
          <w:sz w:val="22"/>
          <w:szCs w:val="22"/>
        </w:rPr>
        <w:t xml:space="preserve"> lo anterior, debe advertirse que en el presente caso se configuró una situación jurídica sobreviniente que incide directamente en la validez y exigibilidad del acto administrativo objeto de seguimiento.</w:t>
      </w:r>
    </w:p>
    <w:p w14:paraId="7099F61C" w14:textId="6415D8BE"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 xml:space="preserve">En efecto, </w:t>
      </w:r>
      <w:r w:rsidR="00E17AF0">
        <w:rPr>
          <w:rFonts w:ascii="Arial" w:eastAsia="Arial" w:hAnsi="Arial" w:cs="Arial"/>
          <w:sz w:val="22"/>
          <w:szCs w:val="22"/>
        </w:rPr>
        <w:t xml:space="preserve">dentro del proceso 11001-33-41-045-2016-00046-00, </w:t>
      </w:r>
      <w:r>
        <w:rPr>
          <w:rFonts w:ascii="Arial" w:eastAsia="Arial" w:hAnsi="Arial" w:cs="Arial"/>
          <w:sz w:val="22"/>
          <w:szCs w:val="22"/>
        </w:rPr>
        <w:t>se tiene que las Resoluciones No. 325 del 19 de marzo de 2014, 566 del 25 de marzo de 2015 y 963 del 03 de julio de 2015 fueron demandadas en ejercicio del medio de control de nulidad y restablecimiento del derecho, proceso dentro del cual el Juzgado Cuarenta y Cinco Administrativo del Circuito de Bogotá, mediante sentencia del 30 de junio de 2020, declaró la nulidad de los referidos actos administrativos, decisión que fue confirmada en segunda instancia por el Tribunal Administrativo de Cundinamarca mediante providencia del 13 de noviembre de 2025, la cual se encuentra debidamente ejecutoriada y en firme.</w:t>
      </w:r>
    </w:p>
    <w:p w14:paraId="5D838B5B"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En este sentido, es preciso señalar que la declaratoria de nulidad de un acto administrativo por parte de la Jurisdicción de lo Contencioso Administrativo implica su expulsión del ordenamiento jurídico, perdiendo no solo su fuerza ejecutoria sino también su validez, por lo cual desaparecen en su totalidad los efectos jurídicos que del mismo se derivaban.</w:t>
      </w:r>
    </w:p>
    <w:p w14:paraId="1A86044B"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 xml:space="preserve">Así las cosas, no resulta jurídicamente viable continuar adelantando actuaciones tendientes a verificar el cumplimiento de una orden de hacer contenida en un acto administrativo que ha sido anulado por autoridad judicial competente, pues ello implicaría desconocer los efectos de la cosa juzgada y el deber de acatamiento de las decisiones judiciales, de conformidad con lo dispuesto en el artículo 189 del Código de Procedimiento Administrativo </w:t>
      </w:r>
      <w:r>
        <w:rPr>
          <w:rFonts w:ascii="Arial" w:eastAsia="Arial" w:hAnsi="Arial" w:cs="Arial"/>
          <w:sz w:val="22"/>
          <w:szCs w:val="22"/>
        </w:rPr>
        <w:lastRenderedPageBreak/>
        <w:t>y de lo Contencioso Administrativo.</w:t>
      </w:r>
    </w:p>
    <w:p w14:paraId="225F69BF"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Aunado a lo anterior, se observa que la sociedad enajenadora puso en conocimiento de este Despacho, en distintas oportunidades, la pérdida de fuerza ejecutoria y la nulidad de los actos administrativos cuyo cumplimiento se requería, circunstancia que, en conjunto con la decisión judicial en firme, configura una imposibilidad jurídica para continuar con la presente actuación administrativa.</w:t>
      </w:r>
    </w:p>
    <w:p w14:paraId="41687637"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Resolución No. 325 del 19 de marzo de 2014, “Por la cual se impone una sanción y se imparte una orden”, por lo que, de conformidad con las razones antes expuestas, se dará por terminada la presente actuación.</w:t>
      </w:r>
    </w:p>
    <w:p w14:paraId="5F8BEDCD" w14:textId="77777777" w:rsidR="004E77CB" w:rsidRDefault="00A80444">
      <w:pPr>
        <w:widowControl w:val="0"/>
        <w:spacing w:before="240" w:after="240"/>
        <w:jc w:val="both"/>
        <w:rPr>
          <w:rFonts w:ascii="Arial" w:eastAsia="Arial" w:hAnsi="Arial" w:cs="Arial"/>
          <w:sz w:val="22"/>
          <w:szCs w:val="22"/>
        </w:rPr>
      </w:pPr>
      <w:r>
        <w:rPr>
          <w:rFonts w:ascii="Arial" w:eastAsia="Arial" w:hAnsi="Arial" w:cs="Arial"/>
          <w:sz w:val="22"/>
          <w:szCs w:val="22"/>
        </w:rPr>
        <w:t>En mérito de lo expuesto, este Despacho</w:t>
      </w:r>
    </w:p>
    <w:p w14:paraId="19745675" w14:textId="77777777" w:rsidR="004E77CB" w:rsidRDefault="00A80444">
      <w:pPr>
        <w:widowControl w:val="0"/>
        <w:jc w:val="center"/>
        <w:rPr>
          <w:rFonts w:ascii="Arial" w:eastAsia="Arial" w:hAnsi="Arial" w:cs="Arial"/>
          <w:b/>
          <w:bCs/>
          <w:sz w:val="22"/>
          <w:szCs w:val="22"/>
        </w:rPr>
      </w:pPr>
      <w:r>
        <w:rPr>
          <w:rFonts w:ascii="Arial" w:eastAsia="Arial" w:hAnsi="Arial" w:cs="Arial"/>
          <w:b/>
          <w:bCs/>
          <w:sz w:val="22"/>
          <w:szCs w:val="22"/>
        </w:rPr>
        <w:t>RESUELVE:</w:t>
      </w:r>
    </w:p>
    <w:p w14:paraId="1F259302" w14:textId="77777777" w:rsidR="004E77CB" w:rsidRDefault="004E77CB">
      <w:pPr>
        <w:widowControl w:val="0"/>
        <w:jc w:val="both"/>
        <w:rPr>
          <w:rFonts w:ascii="Arial" w:eastAsia="Arial" w:hAnsi="Arial" w:cs="Arial"/>
          <w:sz w:val="22"/>
          <w:szCs w:val="22"/>
        </w:rPr>
      </w:pPr>
    </w:p>
    <w:p w14:paraId="7F8578A8" w14:textId="194B8059" w:rsidR="004E77CB" w:rsidRDefault="00A80444">
      <w:pPr>
        <w:widowControl w:val="0"/>
        <w:jc w:val="both"/>
        <w:rPr>
          <w:rFonts w:ascii="Arial" w:eastAsia="Arial" w:hAnsi="Arial" w:cs="Arial"/>
          <w:sz w:val="22"/>
          <w:szCs w:val="22"/>
        </w:rPr>
      </w:pPr>
      <w:r>
        <w:rPr>
          <w:rFonts w:ascii="Arial" w:eastAsia="Arial" w:hAnsi="Arial" w:cs="Arial"/>
          <w:b/>
          <w:bCs/>
          <w:sz w:val="22"/>
          <w:szCs w:val="22"/>
        </w:rPr>
        <w:t>ARTÍCULO PRIMERO</w:t>
      </w:r>
      <w:r w:rsidR="008014D6">
        <w:rPr>
          <w:rFonts w:ascii="Arial" w:eastAsia="Arial" w:hAnsi="Arial" w:cs="Arial"/>
          <w:b/>
          <w:bCs/>
          <w:sz w:val="22"/>
          <w:szCs w:val="22"/>
        </w:rPr>
        <w:t xml:space="preserve">: </w:t>
      </w:r>
      <w:r w:rsidR="008014D6" w:rsidRPr="008014D6">
        <w:rPr>
          <w:rFonts w:ascii="Arial" w:eastAsia="Arial" w:hAnsi="Arial" w:cs="Arial"/>
          <w:b/>
          <w:bCs/>
          <w:sz w:val="22"/>
          <w:szCs w:val="22"/>
        </w:rPr>
        <w:t>REVOCAR</w:t>
      </w:r>
      <w:r w:rsidR="008014D6">
        <w:rPr>
          <w:rFonts w:ascii="Arial" w:eastAsia="Arial" w:hAnsi="Arial" w:cs="Arial"/>
          <w:sz w:val="22"/>
          <w:szCs w:val="22"/>
        </w:rPr>
        <w:t xml:space="preserve"> la Resolución No. 325 del 19 de marzo de 2014, "</w:t>
      </w:r>
      <w:r w:rsidR="008014D6">
        <w:rPr>
          <w:rFonts w:ascii="Arial" w:eastAsia="Arial" w:hAnsi="Arial" w:cs="Arial"/>
          <w:i/>
          <w:iCs/>
          <w:sz w:val="22"/>
          <w:szCs w:val="22"/>
        </w:rPr>
        <w:t>Por la cual se impone una sanción y se imparte una orden</w:t>
      </w:r>
      <w:r w:rsidR="008014D6">
        <w:rPr>
          <w:rFonts w:ascii="Arial" w:eastAsia="Arial" w:hAnsi="Arial" w:cs="Arial"/>
          <w:sz w:val="22"/>
          <w:szCs w:val="22"/>
        </w:rPr>
        <w:t xml:space="preserve">", proferida en contra de la sociedad A P CONSTRUCCIONES S.A., identificada con NIT. 860.504.357-8, </w:t>
      </w:r>
      <w:r>
        <w:rPr>
          <w:rFonts w:ascii="Arial" w:eastAsia="Arial" w:hAnsi="Arial" w:cs="Arial"/>
          <w:sz w:val="22"/>
          <w:szCs w:val="22"/>
        </w:rPr>
        <w:t xml:space="preserve">de conformidad con las razones expuestas en la parte motiva del presente Acto Administrativo.  </w:t>
      </w:r>
    </w:p>
    <w:p w14:paraId="3E72C96E" w14:textId="77777777" w:rsidR="004E77CB" w:rsidRDefault="004E77CB">
      <w:pPr>
        <w:widowControl w:val="0"/>
        <w:jc w:val="both"/>
        <w:rPr>
          <w:rFonts w:ascii="Arial" w:eastAsia="Arial" w:hAnsi="Arial" w:cs="Arial"/>
          <w:b/>
          <w:bCs/>
          <w:sz w:val="22"/>
          <w:szCs w:val="22"/>
        </w:rPr>
      </w:pPr>
    </w:p>
    <w:p w14:paraId="54A6594D" w14:textId="43394F5A" w:rsidR="004E77CB" w:rsidRPr="0079558E" w:rsidRDefault="00A80444">
      <w:pPr>
        <w:jc w:val="both"/>
        <w:rPr>
          <w:rFonts w:ascii="Arial" w:eastAsia="Helvetica Neue" w:hAnsi="Arial" w:cs="Arial"/>
          <w:sz w:val="22"/>
          <w:szCs w:val="22"/>
        </w:rPr>
      </w:pPr>
      <w:r w:rsidRPr="0079558E">
        <w:rPr>
          <w:rFonts w:ascii="Arial" w:eastAsia="Helvetica Neue" w:hAnsi="Arial" w:cs="Arial"/>
          <w:b/>
          <w:bCs/>
          <w:sz w:val="22"/>
          <w:szCs w:val="22"/>
        </w:rPr>
        <w:t>ARTÍCULO SEGUNDO:</w:t>
      </w:r>
      <w:r w:rsidRPr="0079558E">
        <w:rPr>
          <w:rFonts w:ascii="Arial" w:eastAsia="Helvetica Neue" w:hAnsi="Arial" w:cs="Arial"/>
          <w:sz w:val="22"/>
          <w:szCs w:val="22"/>
        </w:rPr>
        <w:t xml:space="preserve"> Notificar el contenido de la presente Resolución al representante legal y/o al apoderado de la sociedad enajenadora</w:t>
      </w:r>
      <w:r w:rsidRPr="0079558E">
        <w:rPr>
          <w:rFonts w:ascii="Arial" w:eastAsia="Arial" w:hAnsi="Arial" w:cs="Arial"/>
          <w:sz w:val="22"/>
          <w:szCs w:val="22"/>
        </w:rPr>
        <w:t xml:space="preserve"> A P CONSTRUCCIONES S.A., </w:t>
      </w:r>
      <w:r w:rsidR="008014D6">
        <w:rPr>
          <w:rFonts w:ascii="Arial" w:eastAsia="Arial" w:hAnsi="Arial" w:cs="Arial"/>
          <w:sz w:val="22"/>
          <w:szCs w:val="22"/>
        </w:rPr>
        <w:t>identificada con NIT</w:t>
      </w:r>
      <w:r w:rsidRPr="0079558E">
        <w:rPr>
          <w:rFonts w:ascii="Arial" w:eastAsia="Arial" w:hAnsi="Arial" w:cs="Arial"/>
          <w:sz w:val="22"/>
          <w:szCs w:val="22"/>
        </w:rPr>
        <w:t xml:space="preserve">. 860.504.357-8 para lo cual deberá enviarse citación para notificación personal a la dirección física </w:t>
      </w:r>
      <w:r w:rsidRPr="008014D6">
        <w:rPr>
          <w:rFonts w:ascii="Arial" w:eastAsia="Arial" w:hAnsi="Arial" w:cs="Arial"/>
          <w:sz w:val="22"/>
          <w:szCs w:val="22"/>
        </w:rPr>
        <w:t xml:space="preserve">Calle 93 </w:t>
      </w:r>
      <w:r w:rsidR="0079558E" w:rsidRPr="008014D6">
        <w:rPr>
          <w:rFonts w:ascii="Arial" w:eastAsia="Arial" w:hAnsi="Arial" w:cs="Arial"/>
          <w:sz w:val="22"/>
          <w:szCs w:val="22"/>
        </w:rPr>
        <w:t>No.</w:t>
      </w:r>
      <w:r w:rsidRPr="008014D6">
        <w:rPr>
          <w:rFonts w:ascii="Arial" w:eastAsia="Arial" w:hAnsi="Arial" w:cs="Arial"/>
          <w:sz w:val="22"/>
          <w:szCs w:val="22"/>
        </w:rPr>
        <w:t>14-20 Oficina 701</w:t>
      </w:r>
      <w:r w:rsidRPr="0079558E">
        <w:rPr>
          <w:rFonts w:ascii="Arial" w:eastAsia="Helvetica Neue" w:hAnsi="Arial" w:cs="Arial"/>
          <w:sz w:val="22"/>
          <w:szCs w:val="22"/>
        </w:rPr>
        <w:t>, o, en su defecto, de conformidad con las normas de notificación previstas en la Ley 1437 de 2011.</w:t>
      </w:r>
    </w:p>
    <w:p w14:paraId="0CBCBEBC" w14:textId="77777777" w:rsidR="004E77CB" w:rsidRPr="0079558E" w:rsidRDefault="004E77CB">
      <w:pPr>
        <w:jc w:val="both"/>
        <w:rPr>
          <w:rFonts w:ascii="Arial" w:eastAsia="Helvetica Neue" w:hAnsi="Arial" w:cs="Arial"/>
          <w:sz w:val="22"/>
          <w:szCs w:val="22"/>
        </w:rPr>
      </w:pPr>
    </w:p>
    <w:p w14:paraId="3FEDEB05" w14:textId="65235EC5" w:rsidR="004E77CB" w:rsidRPr="0079558E" w:rsidRDefault="00A80444">
      <w:pPr>
        <w:jc w:val="both"/>
        <w:rPr>
          <w:rFonts w:ascii="Arial" w:eastAsia="Arial" w:hAnsi="Arial" w:cs="Arial"/>
          <w:sz w:val="22"/>
          <w:szCs w:val="22"/>
        </w:rPr>
      </w:pPr>
      <w:r w:rsidRPr="0079558E">
        <w:rPr>
          <w:rFonts w:ascii="Arial" w:eastAsia="Helvetica Neue" w:hAnsi="Arial" w:cs="Arial"/>
          <w:b/>
          <w:bCs/>
          <w:sz w:val="22"/>
          <w:szCs w:val="22"/>
        </w:rPr>
        <w:t xml:space="preserve">ARTÍCULO TERCERO: </w:t>
      </w:r>
      <w:r w:rsidRPr="0079558E">
        <w:rPr>
          <w:rFonts w:ascii="Arial" w:eastAsia="Helvetica Neue" w:hAnsi="Arial" w:cs="Arial"/>
          <w:sz w:val="22"/>
          <w:szCs w:val="22"/>
        </w:rPr>
        <w:t xml:space="preserve">Notificar el contenido de esta Resolución al </w:t>
      </w:r>
      <w:r w:rsidR="008014D6">
        <w:rPr>
          <w:rFonts w:ascii="Arial" w:eastAsia="Helvetica Neue" w:hAnsi="Arial" w:cs="Arial"/>
          <w:sz w:val="22"/>
          <w:szCs w:val="22"/>
        </w:rPr>
        <w:t xml:space="preserve">propietario del </w:t>
      </w:r>
      <w:r w:rsidR="008014D6">
        <w:rPr>
          <w:rFonts w:ascii="Arial" w:eastAsia="Arial" w:hAnsi="Arial" w:cs="Arial"/>
          <w:sz w:val="22"/>
          <w:szCs w:val="22"/>
        </w:rPr>
        <w:t>apartamento 1104 de la torre 4</w:t>
      </w:r>
      <w:r w:rsidR="008014D6">
        <w:rPr>
          <w:rFonts w:ascii="Arial" w:eastAsia="Helvetica Neue" w:hAnsi="Arial" w:cs="Arial"/>
          <w:sz w:val="22"/>
          <w:szCs w:val="22"/>
        </w:rPr>
        <w:t xml:space="preserve"> </w:t>
      </w:r>
      <w:r w:rsidRPr="0079558E">
        <w:rPr>
          <w:rFonts w:ascii="Arial" w:eastAsia="Helvetica Neue" w:hAnsi="Arial" w:cs="Arial"/>
          <w:sz w:val="22"/>
          <w:szCs w:val="22"/>
        </w:rPr>
        <w:t>(o quien</w:t>
      </w:r>
      <w:r w:rsidRPr="0079558E">
        <w:rPr>
          <w:rFonts w:ascii="Arial" w:hAnsi="Arial" w:cs="Arial"/>
          <w:sz w:val="22"/>
          <w:szCs w:val="22"/>
        </w:rPr>
        <w:t xml:space="preserve"> </w:t>
      </w:r>
      <w:r w:rsidRPr="0079558E">
        <w:rPr>
          <w:rFonts w:ascii="Arial" w:eastAsia="Helvetica Neue" w:hAnsi="Arial" w:cs="Arial"/>
          <w:sz w:val="22"/>
          <w:szCs w:val="22"/>
        </w:rPr>
        <w:t>haga</w:t>
      </w:r>
      <w:r w:rsidRPr="0079558E">
        <w:rPr>
          <w:rFonts w:ascii="Arial" w:hAnsi="Arial" w:cs="Arial"/>
          <w:sz w:val="22"/>
          <w:szCs w:val="22"/>
        </w:rPr>
        <w:t xml:space="preserve"> </w:t>
      </w:r>
      <w:r w:rsidRPr="0079558E">
        <w:rPr>
          <w:rFonts w:ascii="Arial" w:eastAsia="Helvetica Neue" w:hAnsi="Arial" w:cs="Arial"/>
          <w:sz w:val="22"/>
          <w:szCs w:val="22"/>
        </w:rPr>
        <w:t xml:space="preserve">sus veces) del proyecto de vivienda </w:t>
      </w:r>
      <w:r w:rsidRPr="0079558E">
        <w:rPr>
          <w:rFonts w:ascii="Arial" w:eastAsia="Arial" w:hAnsi="Arial" w:cs="Arial"/>
          <w:sz w:val="22"/>
          <w:szCs w:val="22"/>
        </w:rPr>
        <w:t xml:space="preserve">CONJUNTO RESIDENCIAL TORRES DEL FERROCARRIL, para lo cual deberá enviarse citación para notificación personal a la </w:t>
      </w:r>
      <w:r w:rsidRPr="008014D6">
        <w:rPr>
          <w:rFonts w:ascii="Arial" w:eastAsia="Arial" w:hAnsi="Arial" w:cs="Arial"/>
          <w:sz w:val="22"/>
          <w:szCs w:val="22"/>
        </w:rPr>
        <w:t xml:space="preserve">Calle 166 </w:t>
      </w:r>
      <w:r w:rsidR="008014D6" w:rsidRPr="008014D6">
        <w:rPr>
          <w:rFonts w:ascii="Arial" w:eastAsia="Arial" w:hAnsi="Arial" w:cs="Arial"/>
          <w:sz w:val="22"/>
          <w:szCs w:val="22"/>
        </w:rPr>
        <w:t xml:space="preserve">No. </w:t>
      </w:r>
      <w:r w:rsidRPr="008014D6">
        <w:rPr>
          <w:rFonts w:ascii="Arial" w:eastAsia="Arial" w:hAnsi="Arial" w:cs="Arial"/>
          <w:sz w:val="22"/>
          <w:szCs w:val="22"/>
        </w:rPr>
        <w:t>8</w:t>
      </w:r>
      <w:r w:rsidR="008014D6">
        <w:rPr>
          <w:rFonts w:ascii="Arial" w:eastAsia="Arial" w:hAnsi="Arial" w:cs="Arial"/>
          <w:sz w:val="22"/>
          <w:szCs w:val="22"/>
        </w:rPr>
        <w:t xml:space="preserve"> </w:t>
      </w:r>
      <w:r w:rsidRPr="008014D6">
        <w:rPr>
          <w:rFonts w:ascii="Arial" w:eastAsia="Arial" w:hAnsi="Arial" w:cs="Arial"/>
          <w:sz w:val="22"/>
          <w:szCs w:val="22"/>
        </w:rPr>
        <w:t xml:space="preserve">H </w:t>
      </w:r>
      <w:r w:rsidR="008014D6" w:rsidRPr="008014D6">
        <w:rPr>
          <w:rFonts w:ascii="Arial" w:eastAsia="Arial" w:hAnsi="Arial" w:cs="Arial"/>
          <w:sz w:val="22"/>
          <w:szCs w:val="22"/>
        </w:rPr>
        <w:t xml:space="preserve">- </w:t>
      </w:r>
      <w:r w:rsidRPr="008014D6">
        <w:rPr>
          <w:rFonts w:ascii="Arial" w:eastAsia="Arial" w:hAnsi="Arial" w:cs="Arial"/>
          <w:sz w:val="22"/>
          <w:szCs w:val="22"/>
        </w:rPr>
        <w:t xml:space="preserve">56 </w:t>
      </w:r>
      <w:r w:rsidR="008014D6" w:rsidRPr="008014D6">
        <w:rPr>
          <w:rFonts w:ascii="Arial" w:eastAsia="Arial" w:hAnsi="Arial" w:cs="Arial"/>
          <w:sz w:val="22"/>
          <w:szCs w:val="22"/>
        </w:rPr>
        <w:t xml:space="preserve">apartamento 1104 de la torre 4 </w:t>
      </w:r>
      <w:r w:rsidRPr="008014D6">
        <w:rPr>
          <w:rFonts w:ascii="Arial" w:eastAsia="Arial" w:hAnsi="Arial" w:cs="Arial"/>
          <w:sz w:val="22"/>
          <w:szCs w:val="22"/>
        </w:rPr>
        <w:t>de Bogotá</w:t>
      </w:r>
      <w:r w:rsidRPr="0079558E">
        <w:rPr>
          <w:rFonts w:ascii="Arial" w:eastAsia="Arial" w:hAnsi="Arial" w:cs="Arial"/>
          <w:sz w:val="22"/>
          <w:szCs w:val="22"/>
        </w:rPr>
        <w:t>; o, en su defecto, de conformidad con las normas de notificación previstas en la Ley 1437 de 2011.</w:t>
      </w:r>
    </w:p>
    <w:p w14:paraId="255DE58D" w14:textId="77777777" w:rsidR="004E77CB" w:rsidRPr="0079558E" w:rsidRDefault="004E77CB">
      <w:pPr>
        <w:widowControl w:val="0"/>
        <w:jc w:val="both"/>
        <w:rPr>
          <w:rFonts w:ascii="Arial" w:eastAsia="Arial" w:hAnsi="Arial" w:cs="Arial"/>
          <w:b/>
          <w:bCs/>
          <w:sz w:val="22"/>
          <w:szCs w:val="22"/>
        </w:rPr>
      </w:pPr>
    </w:p>
    <w:p w14:paraId="1E3C17AF" w14:textId="77777777" w:rsidR="004E77CB" w:rsidRPr="0079558E" w:rsidRDefault="00A80444">
      <w:pPr>
        <w:widowControl w:val="0"/>
        <w:jc w:val="both"/>
        <w:rPr>
          <w:rFonts w:ascii="Arial" w:eastAsia="Arial" w:hAnsi="Arial" w:cs="Arial"/>
          <w:sz w:val="22"/>
          <w:szCs w:val="22"/>
        </w:rPr>
      </w:pPr>
      <w:r w:rsidRPr="0079558E">
        <w:rPr>
          <w:rFonts w:ascii="Arial" w:eastAsia="Arial" w:hAnsi="Arial" w:cs="Arial"/>
          <w:b/>
          <w:bCs/>
          <w:sz w:val="22"/>
          <w:szCs w:val="22"/>
        </w:rPr>
        <w:t xml:space="preserve">ARTÍCULO CUARTO: </w:t>
      </w:r>
      <w:r w:rsidRPr="0079558E">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0449FA64" w14:textId="28B639C3" w:rsidR="004E77CB" w:rsidRPr="0079558E" w:rsidRDefault="00A80444">
      <w:pPr>
        <w:widowControl w:val="0"/>
        <w:jc w:val="both"/>
        <w:rPr>
          <w:rFonts w:ascii="Arial" w:eastAsia="Arial" w:hAnsi="Arial" w:cs="Arial"/>
          <w:sz w:val="22"/>
          <w:szCs w:val="22"/>
        </w:rPr>
      </w:pPr>
      <w:r w:rsidRPr="0079558E">
        <w:rPr>
          <w:rFonts w:ascii="Arial" w:eastAsia="Arial" w:hAnsi="Arial" w:cs="Arial"/>
          <w:b/>
          <w:bCs/>
          <w:sz w:val="22"/>
          <w:szCs w:val="22"/>
        </w:rPr>
        <w:lastRenderedPageBreak/>
        <w:t xml:space="preserve">ARTÍCULO QUINTO. </w:t>
      </w:r>
      <w:r w:rsidRPr="0079558E">
        <w:rPr>
          <w:rFonts w:ascii="Arial" w:eastAsia="Arial" w:hAnsi="Arial" w:cs="Arial"/>
          <w:sz w:val="22"/>
          <w:szCs w:val="22"/>
        </w:rPr>
        <w:t>La presente resolución rige a partir de la fecha de su expedición.</w:t>
      </w:r>
    </w:p>
    <w:p w14:paraId="251785B4" w14:textId="77777777" w:rsidR="004E77CB" w:rsidRDefault="004E77CB">
      <w:pPr>
        <w:widowControl w:val="0"/>
        <w:jc w:val="center"/>
        <w:rPr>
          <w:rFonts w:ascii="Arial" w:eastAsia="Arial" w:hAnsi="Arial" w:cs="Arial"/>
          <w:b/>
          <w:bCs/>
          <w:sz w:val="22"/>
          <w:szCs w:val="22"/>
        </w:rPr>
      </w:pPr>
    </w:p>
    <w:p w14:paraId="127106C9" w14:textId="77777777" w:rsidR="004E77CB" w:rsidRDefault="004E77CB">
      <w:pPr>
        <w:widowControl w:val="0"/>
        <w:jc w:val="center"/>
        <w:rPr>
          <w:rFonts w:ascii="Arial" w:eastAsia="Arial" w:hAnsi="Arial" w:cs="Arial"/>
          <w:b/>
          <w:bCs/>
          <w:sz w:val="22"/>
          <w:szCs w:val="22"/>
        </w:rPr>
      </w:pPr>
    </w:p>
    <w:p w14:paraId="151E0FEF" w14:textId="77777777" w:rsidR="004E77CB" w:rsidRDefault="00A80444">
      <w:pPr>
        <w:widowControl w:val="0"/>
        <w:jc w:val="center"/>
        <w:rPr>
          <w:rFonts w:ascii="Arial" w:eastAsia="Arial" w:hAnsi="Arial" w:cs="Arial"/>
          <w:b/>
          <w:bCs/>
          <w:sz w:val="22"/>
          <w:szCs w:val="22"/>
        </w:rPr>
      </w:pPr>
      <w:r>
        <w:rPr>
          <w:rFonts w:ascii="Arial" w:eastAsia="Arial" w:hAnsi="Arial" w:cs="Arial"/>
          <w:b/>
          <w:bCs/>
          <w:sz w:val="22"/>
          <w:szCs w:val="22"/>
        </w:rPr>
        <w:t>NOTIFÍQUESE, COMUNÍQUESE Y CÚMPLASE.</w:t>
      </w:r>
    </w:p>
    <w:p w14:paraId="3D55FF2B" w14:textId="77777777" w:rsidR="004E77CB" w:rsidRDefault="004E77CB">
      <w:pPr>
        <w:widowControl w:val="0"/>
        <w:jc w:val="center"/>
        <w:rPr>
          <w:rFonts w:ascii="Arial" w:eastAsia="Arial" w:hAnsi="Arial" w:cs="Arial"/>
          <w:b/>
          <w:bCs/>
          <w:sz w:val="22"/>
          <w:szCs w:val="22"/>
        </w:rPr>
      </w:pPr>
    </w:p>
    <w:p w14:paraId="272AE911" w14:textId="77777777" w:rsidR="004E77CB" w:rsidRDefault="004E77CB">
      <w:pPr>
        <w:widowControl w:val="0"/>
        <w:jc w:val="center"/>
        <w:rPr>
          <w:rFonts w:ascii="Arial" w:eastAsia="Arial" w:hAnsi="Arial" w:cs="Arial"/>
          <w:b/>
          <w:bCs/>
          <w:sz w:val="22"/>
          <w:szCs w:val="22"/>
        </w:rPr>
      </w:pPr>
    </w:p>
    <w:p w14:paraId="343BFFDA" w14:textId="77777777" w:rsidR="004E77CB" w:rsidRDefault="004E77CB">
      <w:pPr>
        <w:widowControl w:val="0"/>
        <w:jc w:val="both"/>
        <w:rPr>
          <w:rFonts w:ascii="Arial" w:eastAsia="Arial" w:hAnsi="Arial" w:cs="Arial"/>
          <w:sz w:val="22"/>
          <w:szCs w:val="22"/>
        </w:rPr>
      </w:pPr>
    </w:p>
    <w:p w14:paraId="5692C10F" w14:textId="77777777" w:rsidR="00E17AF0" w:rsidRDefault="00E17AF0">
      <w:pPr>
        <w:widowControl w:val="0"/>
        <w:jc w:val="both"/>
        <w:rPr>
          <w:rFonts w:ascii="Arial" w:eastAsia="Arial" w:hAnsi="Arial" w:cs="Arial"/>
          <w:sz w:val="22"/>
          <w:szCs w:val="22"/>
        </w:rPr>
      </w:pPr>
    </w:p>
    <w:p w14:paraId="01FCF8A6" w14:textId="77777777" w:rsidR="00E17AF0" w:rsidRDefault="00E17AF0">
      <w:pPr>
        <w:widowControl w:val="0"/>
        <w:jc w:val="both"/>
        <w:rPr>
          <w:rFonts w:ascii="Arial" w:eastAsia="Arial" w:hAnsi="Arial" w:cs="Arial"/>
          <w:sz w:val="22"/>
          <w:szCs w:val="22"/>
        </w:rPr>
      </w:pPr>
    </w:p>
    <w:p w14:paraId="65825307" w14:textId="77777777" w:rsidR="00E17AF0" w:rsidRDefault="00E17AF0">
      <w:pPr>
        <w:widowControl w:val="0"/>
        <w:jc w:val="both"/>
        <w:rPr>
          <w:rFonts w:ascii="Arial" w:eastAsia="Arial" w:hAnsi="Arial" w:cs="Arial"/>
          <w:sz w:val="22"/>
          <w:szCs w:val="22"/>
        </w:rPr>
      </w:pPr>
    </w:p>
    <w:p w14:paraId="7CD31D64" w14:textId="77777777" w:rsidR="004E77CB" w:rsidRDefault="00A80444">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4A1B854E" w14:textId="77777777" w:rsidR="004E77CB" w:rsidRDefault="00A80444">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1CD5E478" w14:textId="77777777" w:rsidR="004E77CB" w:rsidRDefault="004E77CB">
      <w:pPr>
        <w:widowControl w:val="0"/>
        <w:jc w:val="both"/>
        <w:rPr>
          <w:rFonts w:ascii="Arial" w:eastAsia="Arial" w:hAnsi="Arial" w:cs="Arial"/>
          <w:i/>
          <w:iCs/>
          <w:sz w:val="22"/>
          <w:szCs w:val="22"/>
        </w:rPr>
      </w:pPr>
    </w:p>
    <w:p w14:paraId="54AA8EFB" w14:textId="77777777" w:rsidR="004E77CB" w:rsidRDefault="00A80444">
      <w:pPr>
        <w:jc w:val="both"/>
        <w:rPr>
          <w:rFonts w:ascii="Arial" w:eastAsia="Arial" w:hAnsi="Arial" w:cs="Arial"/>
          <w:i/>
          <w:iCs/>
          <w:sz w:val="16"/>
          <w:szCs w:val="16"/>
        </w:rPr>
      </w:pPr>
      <w:r>
        <w:rPr>
          <w:rFonts w:ascii="Arial" w:eastAsia="Arial" w:hAnsi="Arial" w:cs="Arial"/>
          <w:i/>
          <w:iCs/>
          <w:sz w:val="16"/>
          <w:szCs w:val="16"/>
        </w:rPr>
        <w:t>Proyectó: Daniel Santiago Cristiano González - Abogado Contratista – DICV</w:t>
      </w:r>
    </w:p>
    <w:p w14:paraId="2E3C26A6" w14:textId="77777777" w:rsidR="004E77CB" w:rsidRDefault="00A80444">
      <w:pPr>
        <w:jc w:val="both"/>
        <w:rPr>
          <w:rFonts w:ascii="Arial" w:eastAsia="Arial" w:hAnsi="Arial" w:cs="Arial"/>
          <w:i/>
          <w:iCs/>
          <w:sz w:val="16"/>
          <w:szCs w:val="16"/>
        </w:rPr>
      </w:pPr>
      <w:r>
        <w:rPr>
          <w:rFonts w:ascii="Arial" w:eastAsia="Arial" w:hAnsi="Arial" w:cs="Arial"/>
          <w:i/>
          <w:iCs/>
          <w:sz w:val="16"/>
          <w:szCs w:val="16"/>
        </w:rPr>
        <w:t xml:space="preserve">Revisó: Mauricio Hernández Beltrán – Abogado Contratista – DICV </w:t>
      </w:r>
    </w:p>
    <w:p w14:paraId="54A3849F" w14:textId="77777777" w:rsidR="004E77CB" w:rsidRDefault="004E77CB">
      <w:pPr>
        <w:pBdr>
          <w:top w:val="nil"/>
          <w:left w:val="nil"/>
          <w:bottom w:val="nil"/>
          <w:right w:val="nil"/>
          <w:between w:val="nil"/>
        </w:pBdr>
        <w:rPr>
          <w:rFonts w:ascii="Arial" w:eastAsia="Arial" w:hAnsi="Arial" w:cs="Arial"/>
          <w:sz w:val="22"/>
          <w:szCs w:val="22"/>
        </w:rPr>
      </w:pPr>
    </w:p>
    <w:sectPr w:rsidR="004E77CB">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CB6AAA" w14:textId="77777777" w:rsidR="006764DC" w:rsidRDefault="006764DC">
      <w:r>
        <w:separator/>
      </w:r>
    </w:p>
  </w:endnote>
  <w:endnote w:type="continuationSeparator" w:id="0">
    <w:p w14:paraId="7CD88621" w14:textId="77777777" w:rsidR="006764DC" w:rsidRDefault="00676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0775D70B-E307-45AD-8679-C1CA415344DD}"/>
  </w:font>
  <w:font w:name="Aptos Display">
    <w:charset w:val="00"/>
    <w:family w:val="swiss"/>
    <w:pitch w:val="variable"/>
    <w:sig w:usb0="20000287" w:usb1="00000003" w:usb2="00000000" w:usb3="00000000" w:csb0="0000019F" w:csb1="00000000"/>
    <w:embedRegular r:id="rId2" w:fontKey="{942EE1D0-1BBA-447C-99F9-3ADB5546CEB0}"/>
  </w:font>
  <w:font w:name="Aptos">
    <w:charset w:val="00"/>
    <w:family w:val="swiss"/>
    <w:pitch w:val="variable"/>
    <w:sig w:usb0="20000287" w:usb1="00000003" w:usb2="00000000" w:usb3="00000000" w:csb0="0000019F" w:csb1="00000000"/>
    <w:embedRegular r:id="rId3" w:fontKey="{AE834EC5-7929-4D48-AC1E-3F02865F486A}"/>
  </w:font>
  <w:font w:name="Helvetica">
    <w:panose1 w:val="020B0604020202020204"/>
    <w:charset w:val="00"/>
    <w:family w:val="swiss"/>
    <w:pitch w:val="variable"/>
    <w:sig w:usb0="E0002EFF" w:usb1="C000785B" w:usb2="00000009" w:usb3="00000000" w:csb0="000001FF" w:csb1="00000000"/>
    <w:embedRegular r:id="rId4" w:fontKey="{B4A15C1C-1457-47FA-ABDD-F30F8E2D6872}"/>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5" w:fontKey="{8137675A-2375-4BE5-B3CB-361AC54F70DE}"/>
    <w:embedBold r:id="rId6" w:fontKey="{C5552ACB-4063-4110-BF43-AB1C2F990147}"/>
  </w:font>
  <w:font w:name="Calibri">
    <w:panose1 w:val="020F0502020204030204"/>
    <w:charset w:val="00"/>
    <w:family w:val="swiss"/>
    <w:pitch w:val="variable"/>
    <w:sig w:usb0="E4002EFF" w:usb1="C200247B" w:usb2="00000009" w:usb3="00000000" w:csb0="000001FF" w:csb1="00000000"/>
    <w:embedRegular r:id="rId7" w:fontKey="{9DBD5534-B433-4AAC-881B-C9714527C83E}"/>
    <w:embedBold r:id="rId8" w:fontKey="{5079A492-6C94-47FD-BC28-798849C19D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9BE14" w14:textId="77777777" w:rsidR="004E77CB" w:rsidRDefault="00A80444">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5B5FB88" wp14:editId="017F556B">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95"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4EADBB37" w14:textId="77777777" w:rsidR="004E77CB" w:rsidRDefault="00A80444">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A57202">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A57202">
      <w:rPr>
        <w:b/>
        <w:bCs/>
        <w:noProof/>
        <w:color w:val="000000"/>
      </w:rPr>
      <w:t>2</w:t>
    </w:r>
    <w:r>
      <w:rPr>
        <w:b/>
        <w:bCs/>
        <w:color w:val="000000"/>
      </w:rPr>
      <w:fldChar w:fldCharType="end"/>
    </w:r>
  </w:p>
  <w:p w14:paraId="79F3FE6D" w14:textId="77777777" w:rsidR="004E77CB" w:rsidRDefault="00A80444">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20748673" w14:textId="77777777" w:rsidR="004E77CB" w:rsidRDefault="00A80444">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0CFCA884" wp14:editId="53D97DBC">
              <wp:simplePos x="0" y="0"/>
              <wp:positionH relativeFrom="column">
                <wp:posOffset>5184777</wp:posOffset>
              </wp:positionH>
              <wp:positionV relativeFrom="paragraph">
                <wp:posOffset>82550</wp:posOffset>
              </wp:positionV>
              <wp:extent cx="1079499" cy="737234"/>
              <wp:effectExtent l="0" t="0" r="0" b="0"/>
              <wp:wrapSquare wrapText="bothSides" distT="45720" distB="45720" distL="114300" distR="114300"/>
              <wp:docPr id="1725787593" name="Rectángulo 1725787593"/>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59B979F6" w14:textId="77777777" w:rsidR="004E77CB" w:rsidRDefault="00A80444">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0CFCA884" id="Rectángulo 1725787593" o:spid="_x0000_s1026" style="position:absolute;margin-left:408.25pt;margin-top:6.5pt;width:85pt;height:58.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" strokecolor="white [3201]">
              <v:stroke startarrowwidth="narrow" startarrowlength="short" endarrowwidth="narrow" endarrowlength="short"/>
              <v:textbox inset="2.53958mm,1.2694mm,2.53958mm,1.2694mm">
                <w:txbxContent>
                  <w:p w14:paraId="59B979F6" w14:textId="77777777" w:rsidR="004E77CB" w:rsidRDefault="00A80444">
                    <w:pPr>
                      <w:jc w:val="center"/>
                      <w:textDirection w:val="btLr"/>
                    </w:pPr>
                    <w:r>
                      <w:rPr>
                        <w:rFonts w:ascii="Arial" w:eastAsia="Arial" w:hAnsi="Arial" w:cs="Arial"/>
                        <w:color w:val="000000"/>
                        <w:sz w:val="14"/>
                      </w:rPr>
                      <w:t>PG02-PL03 V2</w:t>
                    </w:r>
                  </w:p>
                </w:txbxContent>
              </v:textbox>
              <w10:wrap type="square"/>
            </v:rect>
          </w:pict>
        </mc:Fallback>
      </mc:AlternateContent>
    </w:r>
  </w:p>
  <w:p w14:paraId="31569E27" w14:textId="77777777" w:rsidR="004E77CB" w:rsidRDefault="00A80444">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2FE16BB" w14:textId="77777777" w:rsidR="004E77CB" w:rsidRPr="00A57202" w:rsidRDefault="00A80444">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A57202">
      <w:rPr>
        <w:rFonts w:ascii="Arial" w:eastAsia="Arial" w:hAnsi="Arial" w:cs="Arial"/>
        <w:color w:val="000000"/>
        <w:sz w:val="16"/>
        <w:szCs w:val="16"/>
        <w:lang w:val="pt-PT"/>
      </w:rPr>
      <w:t xml:space="preserve">Código Postal: 110231 </w:t>
    </w:r>
  </w:p>
  <w:p w14:paraId="48BAF899" w14:textId="77777777" w:rsidR="004E77CB" w:rsidRPr="00A57202" w:rsidRDefault="00A80444">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fldChar w:fldCharType="begin"/>
    </w:r>
    <w:r w:rsidRPr="006B1C8B">
      <w:rPr>
        <w:lang w:val="pt-PT"/>
      </w:rPr>
      <w:instrText>HYPERLINK "http://www.habitatbogota.gov.co" \h</w:instrText>
    </w:r>
    <w:r>
      <w:fldChar w:fldCharType="separate"/>
    </w:r>
    <w:r w:rsidRPr="00A57202">
      <w:rPr>
        <w:rFonts w:ascii="Arial" w:eastAsia="Arial" w:hAnsi="Arial" w:cs="Arial"/>
        <w:color w:val="0000FF"/>
        <w:sz w:val="16"/>
        <w:szCs w:val="16"/>
        <w:u w:val="single"/>
        <w:lang w:val="pt-PT"/>
      </w:rPr>
      <w:t>www.habitatbogota.gov.co</w:t>
    </w:r>
    <w:r>
      <w:fldChar w:fldCharType="end"/>
    </w:r>
    <w:r w:rsidRPr="00A57202">
      <w:rPr>
        <w:rFonts w:ascii="Arial" w:eastAsia="Arial" w:hAnsi="Arial" w:cs="Arial"/>
        <w:color w:val="000000"/>
        <w:sz w:val="16"/>
        <w:szCs w:val="16"/>
        <w:lang w:val="pt-PT"/>
      </w:rPr>
      <w:t xml:space="preserve">                 </w:t>
    </w:r>
  </w:p>
  <w:p w14:paraId="47DFD84D" w14:textId="77777777" w:rsidR="004E77CB" w:rsidRPr="00A57202" w:rsidRDefault="004E77CB">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B90B5" w14:textId="77777777" w:rsidR="006764DC" w:rsidRDefault="006764DC">
      <w:r>
        <w:separator/>
      </w:r>
    </w:p>
  </w:footnote>
  <w:footnote w:type="continuationSeparator" w:id="0">
    <w:p w14:paraId="4FA8317E" w14:textId="77777777" w:rsidR="006764DC" w:rsidRDefault="006764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DD3F7" w14:textId="77777777" w:rsidR="004E77CB" w:rsidRDefault="004E77CB">
    <w:pPr>
      <w:rPr>
        <w:b/>
        <w:bCs/>
        <w:sz w:val="22"/>
        <w:szCs w:val="22"/>
      </w:rPr>
    </w:pPr>
    <w:bookmarkStart w:id="6" w:name="_heading=h.g0ck6mntm1z9" w:colFirst="0" w:colLast="0"/>
    <w:bookmarkEnd w:id="6"/>
  </w:p>
  <w:p w14:paraId="7F998A7C" w14:textId="77777777" w:rsidR="004E77CB" w:rsidRDefault="004E77CB">
    <w:pPr>
      <w:rPr>
        <w:b/>
        <w:bCs/>
        <w:sz w:val="22"/>
        <w:szCs w:val="22"/>
      </w:rPr>
    </w:pPr>
  </w:p>
  <w:p w14:paraId="4062BC7F" w14:textId="77777777" w:rsidR="004E77CB" w:rsidRDefault="004E77CB">
    <w:pPr>
      <w:rPr>
        <w:b/>
        <w:bCs/>
        <w:sz w:val="22"/>
        <w:szCs w:val="22"/>
      </w:rPr>
    </w:pPr>
  </w:p>
  <w:p w14:paraId="26E61AF2" w14:textId="77777777" w:rsidR="004E77CB" w:rsidRDefault="00A80444">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64A48257" w14:textId="77777777" w:rsidR="004E77CB" w:rsidRDefault="00A80444">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162927F0" w14:textId="77777777" w:rsidR="004E77CB" w:rsidRDefault="00A80444">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20CB3599" wp14:editId="2ED3FDA2">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9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55F07"/>
    <w:multiLevelType w:val="multilevel"/>
    <w:tmpl w:val="B15486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BF67FD0"/>
    <w:multiLevelType w:val="multilevel"/>
    <w:tmpl w:val="3BC07D96"/>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num w:numId="1" w16cid:durableId="768547885">
    <w:abstractNumId w:val="0"/>
  </w:num>
  <w:num w:numId="2" w16cid:durableId="3362292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77CB"/>
    <w:rsid w:val="00076628"/>
    <w:rsid w:val="00113ED4"/>
    <w:rsid w:val="004E77CB"/>
    <w:rsid w:val="006764DC"/>
    <w:rsid w:val="006B1C8B"/>
    <w:rsid w:val="0079558E"/>
    <w:rsid w:val="008014D6"/>
    <w:rsid w:val="00A57202"/>
    <w:rsid w:val="00A80444"/>
    <w:rsid w:val="00B4092C"/>
    <w:rsid w:val="00CD24A6"/>
    <w:rsid w:val="00E17AF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7287FE"/>
  <w15:docId w15:val="{D38755E0-AFE7-4565-B835-2FDA512C99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customStyle="1" w:styleId="p1">
    <w:name w:val="p1"/>
    <w:basedOn w:val="Normal"/>
    <w:rsid w:val="006B2D22"/>
    <w:rPr>
      <w:rFonts w:ascii="Helvetica" w:eastAsiaTheme="minorEastAsia" w:hAnsi="Helvetica"/>
      <w:sz w:val="18"/>
      <w:szCs w:val="18"/>
      <w:lang w:val="es-CO" w:eastAsia="es-ES"/>
    </w:rPr>
  </w:style>
  <w:style w:type="character" w:customStyle="1" w:styleId="s1">
    <w:name w:val="s1"/>
    <w:basedOn w:val="Fuentedeprrafopredeter"/>
    <w:rsid w:val="006B2D22"/>
    <w:rPr>
      <w:rFonts w:ascii="Helvetica" w:hAnsi="Helvetica" w:hint="default"/>
      <w:b w:val="0"/>
      <w:bCs w:val="0"/>
      <w:i w:val="0"/>
      <w:iCs w:val="0"/>
      <w:sz w:val="18"/>
      <w:szCs w:val="18"/>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NlDp+Foqv1z5c1Vs81a1+qDJLQ==">CgMxLjAyDmguNjN1OXh6bWtxenZzMg5oLnR6aWliOG1qdTk0ODIOaC52bXE1amxzeWxjamgyCWguM3pueXNoNzIOaC4xamQ4MGV5bXhpNjEyDmguNG00cTZiMXRqZ3ZnMg5oLmcwY2s2bW50bTF6OTgAciExdDZrYmVySkV5VlZoWC10SXl3VmoxUjNWVTEweWliX1M=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2449</Words>
  <Characters>13471</Characters>
  <Application>Microsoft Office Word</Application>
  <DocSecurity>0</DocSecurity>
  <Lines>112</Lines>
  <Paragraphs>31</Paragraphs>
  <ScaleCrop>false</ScaleCrop>
  <Company/>
  <LinksUpToDate>false</LinksUpToDate>
  <CharactersWithSpaces>15889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2026-04-07T15:44:00Z</dcterms:created>
  <dcterms:modified xsi:type="dcterms:W3CDTF">2026-04-07T15:44:00Z</dcterms:modified>
</cp:coreProperties>
</file>